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  <w:gridCol w:w="2226"/>
      </w:tblGrid>
      <w:tr w:rsidR="00AC4062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ZV előkészítő szeminárium 2</w:t>
            </w:r>
            <w:proofErr w:type="gramStart"/>
            <w:r w:rsidRPr="008A2386">
              <w:rPr>
                <w:b/>
              </w:rPr>
              <w:t>.:</w:t>
            </w:r>
            <w:proofErr w:type="gramEnd"/>
            <w:r w:rsidRPr="008A2386">
              <w:rPr>
                <w:b/>
              </w:rPr>
              <w:t xml:space="preserve"> </w:t>
            </w:r>
            <w:r w:rsidRPr="006908C0">
              <w:rPr>
                <w:b/>
              </w:rPr>
              <w:t>felkészülés az írásbeli záróvizsgára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2.</w:t>
            </w:r>
          </w:p>
        </w:tc>
      </w:tr>
      <w:tr w:rsidR="00AC4062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AC4062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>100%gyak.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AC4062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2657A5">
              <w:rPr>
                <w:u w:val="single"/>
              </w:rPr>
              <w:t>szem.</w:t>
            </w:r>
            <w:r w:rsidRPr="008A2386">
              <w:t xml:space="preserve">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93536">
              <w:t>2 ó/hét</w:t>
            </w:r>
          </w:p>
          <w:p w:rsidR="00AC4062" w:rsidRPr="008A2386" w:rsidRDefault="00AC4062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9A0BD0">
              <w:t>(</w:t>
            </w:r>
            <w:r w:rsidRPr="009A0BD0">
              <w:rPr>
                <w:i/>
              </w:rPr>
              <w:t>ha nem (csak) magyarul oktatják a tárgy</w:t>
            </w:r>
            <w:r w:rsidRPr="008A2386">
              <w:rPr>
                <w:i/>
                <w:lang w:val="en-US"/>
              </w:rPr>
              <w:t xml:space="preserve">at,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 xml:space="preserve">: </w:t>
            </w:r>
            <w:proofErr w:type="spellStart"/>
            <w:r w:rsidRPr="008A2386">
              <w:rPr>
                <w:i/>
                <w:lang w:val="en-US"/>
              </w:rPr>
              <w:t>Német</w:t>
            </w:r>
            <w:proofErr w:type="spellEnd"/>
          </w:p>
          <w:p w:rsidR="00AC4062" w:rsidRPr="008A2386" w:rsidRDefault="00AC4062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lang w:val="en-US"/>
              </w:rPr>
              <w:t>: ………………………..</w:t>
            </w:r>
          </w:p>
        </w:tc>
      </w:tr>
      <w:tr w:rsidR="00AC4062" w:rsidRPr="008A2386" w:rsidTr="00E0296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módja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gyakorlati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jegy</w:t>
            </w:r>
            <w:proofErr w:type="spellEnd"/>
          </w:p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ismeretellenőrzésben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rStyle w:val="Lbjegyzet-hivatkozs"/>
                <w:b/>
              </w:rPr>
              <w:footnoteReference w:id="3"/>
            </w:r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b/>
                <w:lang w:val="en-US"/>
              </w:rPr>
              <w:t xml:space="preserve">: </w:t>
            </w:r>
            <w:r w:rsidRPr="008A2386">
              <w:rPr>
                <w:lang w:val="en-US"/>
              </w:rPr>
              <w:t>………………………..</w:t>
            </w:r>
          </w:p>
        </w:tc>
      </w:tr>
      <w:tr w:rsidR="00AC4062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lang w:val="en-US"/>
              </w:rPr>
              <w:t>tantárgy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tantervi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helye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lang w:val="en-US"/>
              </w:rPr>
              <w:t>hányadik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félév</w:t>
            </w:r>
            <w:proofErr w:type="spellEnd"/>
            <w:r w:rsidRPr="008A2386">
              <w:rPr>
                <w:lang w:val="en-US"/>
              </w:rPr>
              <w:t xml:space="preserve">): </w:t>
            </w:r>
            <w:r w:rsidRPr="00D93536">
              <w:rPr>
                <w:lang w:val="en-US"/>
              </w:rPr>
              <w:t>6.</w:t>
            </w:r>
          </w:p>
        </w:tc>
      </w:tr>
      <w:tr w:rsidR="00AC4062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>alapvizsga</w:t>
            </w:r>
          </w:p>
        </w:tc>
      </w:tr>
    </w:tbl>
    <w:p w:rsidR="00AC4062" w:rsidRPr="008A2386" w:rsidRDefault="00AC4062" w:rsidP="00AC406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AC4062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AC4062" w:rsidRPr="008A2386" w:rsidTr="00E0296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jc w:val="both"/>
            </w:pPr>
            <w:r w:rsidRPr="008A2386">
              <w:t>A kurzus célja, hogy segítse a hallgatók felkészülését a német alapszakos (BA) záróvizsga írásbeli részére. A kurzus</w:t>
            </w:r>
            <w:r w:rsidRPr="008A2386">
              <w:rPr>
                <w:b/>
              </w:rPr>
              <w:t xml:space="preserve"> </w:t>
            </w:r>
            <w:r w:rsidRPr="008A2386">
              <w:t xml:space="preserve">a </w:t>
            </w:r>
            <w:r w:rsidRPr="008A2386">
              <w:rPr>
                <w:i/>
              </w:rPr>
              <w:t>Záróvizsga-előkészítő szeminárium 1</w:t>
            </w:r>
            <w:r w:rsidRPr="008A2386">
              <w:t xml:space="preserve"> (írásbeli) folytatása.</w:t>
            </w:r>
          </w:p>
          <w:p w:rsidR="00AC4062" w:rsidRPr="008A2386" w:rsidRDefault="00AC4062" w:rsidP="00E0296E">
            <w:pPr>
              <w:tabs>
                <w:tab w:val="left" w:pos="34"/>
              </w:tabs>
              <w:jc w:val="both"/>
            </w:pPr>
            <w:r w:rsidRPr="008A2386">
              <w:t xml:space="preserve">Az írásbeli záróvizsga felépítésének megfelelően a kurzus a következő részterületeket állítja a középpontba: </w:t>
            </w:r>
          </w:p>
          <w:p w:rsidR="00AC4062" w:rsidRPr="008A2386" w:rsidRDefault="00AC4062" w:rsidP="00E0296E">
            <w:pPr>
              <w:tabs>
                <w:tab w:val="left" w:pos="34"/>
              </w:tabs>
              <w:jc w:val="both"/>
            </w:pPr>
            <w:r w:rsidRPr="008A2386">
              <w:tab/>
            </w:r>
            <w:r w:rsidRPr="008A2386">
              <w:tab/>
              <w:t>(i) korábban már elsajátított nyelvtani témák átismétlése (igemód, főnév, névelő, stb.)</w:t>
            </w:r>
          </w:p>
          <w:p w:rsidR="00AC4062" w:rsidRPr="008A2386" w:rsidRDefault="00AC4062" w:rsidP="00E0296E">
            <w:pPr>
              <w:tabs>
                <w:tab w:val="left" w:pos="34"/>
              </w:tabs>
              <w:jc w:val="both"/>
            </w:pPr>
            <w:r w:rsidRPr="008A2386">
              <w:tab/>
            </w:r>
            <w:r w:rsidRPr="008A2386">
              <w:tab/>
              <w:t>(</w:t>
            </w:r>
            <w:proofErr w:type="spellStart"/>
            <w:r w:rsidRPr="008A2386">
              <w:t>ii</w:t>
            </w:r>
            <w:proofErr w:type="spellEnd"/>
            <w:r w:rsidRPr="008A2386">
              <w:t>) tipikus német mondatstruktúrák gyakoroltatása</w:t>
            </w:r>
          </w:p>
          <w:p w:rsidR="00AC4062" w:rsidRPr="008A2386" w:rsidRDefault="00AC4062" w:rsidP="00E0296E">
            <w:pPr>
              <w:tabs>
                <w:tab w:val="left" w:pos="34"/>
              </w:tabs>
              <w:jc w:val="both"/>
            </w:pPr>
            <w:r w:rsidRPr="008A2386">
              <w:tab/>
            </w:r>
            <w:r w:rsidRPr="008A2386">
              <w:tab/>
              <w:t>(</w:t>
            </w:r>
            <w:proofErr w:type="spellStart"/>
            <w:r w:rsidRPr="008A2386">
              <w:t>iii</w:t>
            </w:r>
            <w:proofErr w:type="spellEnd"/>
            <w:r w:rsidRPr="008A2386">
              <w:t>) irányított fogalmazás készítése</w:t>
            </w:r>
          </w:p>
          <w:p w:rsidR="00AC4062" w:rsidRPr="008A2386" w:rsidRDefault="00AC4062" w:rsidP="00E0296E">
            <w:pPr>
              <w:tabs>
                <w:tab w:val="left" w:pos="34"/>
              </w:tabs>
              <w:jc w:val="both"/>
              <w:rPr>
                <w:b/>
              </w:rPr>
            </w:pPr>
            <w:r w:rsidRPr="008A2386">
              <w:tab/>
            </w:r>
            <w:r w:rsidRPr="008A2386">
              <w:tab/>
              <w:t>(</w:t>
            </w:r>
            <w:proofErr w:type="spellStart"/>
            <w:r w:rsidRPr="008A2386">
              <w:t>iv</w:t>
            </w:r>
            <w:proofErr w:type="spellEnd"/>
            <w:r w:rsidRPr="008A2386">
              <w:t>) célzott felkészítés a záróvizsga feladataira (hibajavítás, kiegészítés).</w:t>
            </w:r>
          </w:p>
        </w:tc>
      </w:tr>
      <w:tr w:rsidR="00AC4062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4062" w:rsidRPr="008A2386" w:rsidRDefault="00AC4062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AC4062" w:rsidRPr="008A2386" w:rsidTr="00E0296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C4062" w:rsidRPr="008A2386" w:rsidRDefault="00AC4062" w:rsidP="00E0296E">
            <w:proofErr w:type="spellStart"/>
            <w:r w:rsidRPr="008A2386">
              <w:rPr>
                <w:b/>
              </w:rPr>
              <w:t>Helbig</w:t>
            </w:r>
            <w:proofErr w:type="spellEnd"/>
            <w:r w:rsidRPr="008A2386">
              <w:t xml:space="preserve">, Gerhard &amp; </w:t>
            </w:r>
            <w:proofErr w:type="spellStart"/>
            <w:r w:rsidRPr="008A2386">
              <w:rPr>
                <w:b/>
              </w:rPr>
              <w:t>Buscha</w:t>
            </w:r>
            <w:proofErr w:type="spellEnd"/>
            <w:r w:rsidRPr="008A2386">
              <w:t xml:space="preserve">, Joachim (2000). </w:t>
            </w:r>
            <w:proofErr w:type="spellStart"/>
            <w:r w:rsidRPr="008A2386">
              <w:rPr>
                <w:i/>
              </w:rPr>
              <w:t>Übungsgrammatik</w:t>
            </w:r>
            <w:proofErr w:type="spellEnd"/>
            <w:r w:rsidRPr="008A2386">
              <w:rPr>
                <w:i/>
              </w:rPr>
              <w:t xml:space="preserve"> Deutsch.</w:t>
            </w:r>
            <w:r w:rsidRPr="008A2386">
              <w:t xml:space="preserve"> Berlin: </w:t>
            </w:r>
            <w:proofErr w:type="spellStart"/>
            <w:r w:rsidRPr="008A2386">
              <w:t>Langenscheidt</w:t>
            </w:r>
            <w:proofErr w:type="spellEnd"/>
            <w:r w:rsidRPr="008A2386">
              <w:t>.</w:t>
            </w:r>
          </w:p>
          <w:p w:rsidR="00AC4062" w:rsidRPr="008A2386" w:rsidRDefault="00AC4062" w:rsidP="00E0296E">
            <w:r w:rsidRPr="008A2386">
              <w:rPr>
                <w:b/>
              </w:rPr>
              <w:t>Kocsány</w:t>
            </w:r>
            <w:r w:rsidRPr="008A2386">
              <w:t xml:space="preserve">, Piroska &amp; </w:t>
            </w:r>
            <w:r w:rsidRPr="008A2386">
              <w:rPr>
                <w:b/>
              </w:rPr>
              <w:t>László</w:t>
            </w:r>
            <w:r w:rsidRPr="008A2386">
              <w:t xml:space="preserve">, Sarolta (1999). </w:t>
            </w:r>
            <w:r w:rsidRPr="008A2386">
              <w:rPr>
                <w:i/>
              </w:rPr>
              <w:t xml:space="preserve">Die </w:t>
            </w:r>
            <w:proofErr w:type="spellStart"/>
            <w:proofErr w:type="gramStart"/>
            <w:r w:rsidRPr="008A2386">
              <w:rPr>
                <w:i/>
              </w:rPr>
              <w:t>Wortklassen</w:t>
            </w:r>
            <w:proofErr w:type="spellEnd"/>
            <w:r w:rsidRPr="008A2386">
              <w:rPr>
                <w:i/>
              </w:rPr>
              <w:t xml:space="preserve">  des</w:t>
            </w:r>
            <w:proofErr w:type="gram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Deutschen</w:t>
            </w:r>
            <w:proofErr w:type="spellEnd"/>
            <w:r w:rsidRPr="008A2386">
              <w:t>. Budapest: Tankönyvkiadó.</w:t>
            </w:r>
          </w:p>
          <w:p w:rsidR="00AC4062" w:rsidRPr="008A2386" w:rsidRDefault="00AC4062" w:rsidP="00E0296E">
            <w:pPr>
              <w:rPr>
                <w:b/>
              </w:rPr>
            </w:pPr>
            <w:proofErr w:type="spellStart"/>
            <w:r w:rsidRPr="008A2386">
              <w:rPr>
                <w:b/>
              </w:rPr>
              <w:t>Dreyer</w:t>
            </w:r>
            <w:proofErr w:type="spellEnd"/>
            <w:r w:rsidRPr="008A2386">
              <w:rPr>
                <w:b/>
              </w:rPr>
              <w:t xml:space="preserve">, </w:t>
            </w:r>
            <w:proofErr w:type="spellStart"/>
            <w:r w:rsidRPr="008A2386">
              <w:t>Hilke</w:t>
            </w:r>
            <w:proofErr w:type="spellEnd"/>
            <w:r w:rsidRPr="008A2386">
              <w:rPr>
                <w:b/>
              </w:rPr>
              <w:t xml:space="preserve"> &amp; Schmitt, </w:t>
            </w:r>
            <w:r w:rsidRPr="008A2386">
              <w:t xml:space="preserve">Richard (2000). </w:t>
            </w:r>
            <w:proofErr w:type="spellStart"/>
            <w:r w:rsidRPr="008A2386">
              <w:rPr>
                <w:i/>
              </w:rPr>
              <w:t>Lehr-</w:t>
            </w:r>
            <w:proofErr w:type="spellEnd"/>
            <w:r w:rsidRPr="008A2386">
              <w:rPr>
                <w:i/>
              </w:rPr>
              <w:t xml:space="preserve"> und </w:t>
            </w:r>
            <w:proofErr w:type="spellStart"/>
            <w:r w:rsidRPr="008A2386">
              <w:rPr>
                <w:i/>
              </w:rPr>
              <w:t>Übungsbuch</w:t>
            </w:r>
            <w:proofErr w:type="spellEnd"/>
            <w:r w:rsidRPr="008A2386">
              <w:rPr>
                <w:i/>
              </w:rPr>
              <w:t xml:space="preserve"> der </w:t>
            </w:r>
            <w:proofErr w:type="spellStart"/>
            <w:r w:rsidRPr="008A2386">
              <w:rPr>
                <w:i/>
              </w:rPr>
              <w:t>deutschen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Grammatik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</w:t>
            </w:r>
            <w:proofErr w:type="spellStart"/>
            <w:r w:rsidRPr="008A2386">
              <w:t>Ismaning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Hueber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Verlag</w:t>
            </w:r>
            <w:proofErr w:type="spellEnd"/>
            <w:r w:rsidRPr="008A2386">
              <w:t>.</w:t>
            </w:r>
          </w:p>
          <w:p w:rsidR="00AC4062" w:rsidRPr="008A2386" w:rsidRDefault="00AC4062" w:rsidP="00E0296E">
            <w:r w:rsidRPr="008A2386">
              <w:rPr>
                <w:b/>
              </w:rPr>
              <w:t>Hall</w:t>
            </w:r>
            <w:r w:rsidRPr="008A2386">
              <w:t xml:space="preserve">, Karin &amp; </w:t>
            </w:r>
            <w:proofErr w:type="spellStart"/>
            <w:r w:rsidRPr="008A2386">
              <w:rPr>
                <w:b/>
              </w:rPr>
              <w:t>Scheiner</w:t>
            </w:r>
            <w:proofErr w:type="spellEnd"/>
            <w:r w:rsidRPr="008A2386">
              <w:t xml:space="preserve">, Barbara (2000). </w:t>
            </w:r>
            <w:proofErr w:type="spellStart"/>
            <w:r w:rsidRPr="008A2386">
              <w:rPr>
                <w:i/>
              </w:rPr>
              <w:t>Übungsgrammatik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für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Fortgeschrittene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Ismaning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Verlag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Deutsch.</w:t>
            </w:r>
          </w:p>
          <w:p w:rsidR="00AC4062" w:rsidRPr="008A2386" w:rsidRDefault="00AC4062" w:rsidP="00E0296E">
            <w:proofErr w:type="spellStart"/>
            <w:r w:rsidRPr="008A2386">
              <w:rPr>
                <w:b/>
              </w:rPr>
              <w:t>Helbig</w:t>
            </w:r>
            <w:proofErr w:type="spellEnd"/>
            <w:r w:rsidRPr="008A2386">
              <w:t xml:space="preserve">, Gerhard &amp; </w:t>
            </w:r>
            <w:proofErr w:type="spellStart"/>
            <w:r w:rsidRPr="008A2386">
              <w:rPr>
                <w:b/>
              </w:rPr>
              <w:t>Buscha</w:t>
            </w:r>
            <w:proofErr w:type="spellEnd"/>
            <w:r w:rsidRPr="008A2386">
              <w:t xml:space="preserve">, Joachim (2000). </w:t>
            </w:r>
            <w:r w:rsidRPr="008A2386">
              <w:rPr>
                <w:i/>
              </w:rPr>
              <w:t xml:space="preserve">Deutsche </w:t>
            </w:r>
            <w:proofErr w:type="spellStart"/>
            <w:r w:rsidRPr="008A2386">
              <w:rPr>
                <w:i/>
              </w:rPr>
              <w:t>Grammatik</w:t>
            </w:r>
            <w:proofErr w:type="spellEnd"/>
            <w:r w:rsidRPr="008A2386">
              <w:rPr>
                <w:i/>
              </w:rPr>
              <w:t xml:space="preserve">: </w:t>
            </w:r>
            <w:proofErr w:type="spellStart"/>
            <w:r w:rsidRPr="008A2386">
              <w:rPr>
                <w:i/>
              </w:rPr>
              <w:t>Ein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Handbuch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für</w:t>
            </w:r>
            <w:proofErr w:type="spellEnd"/>
            <w:r w:rsidRPr="008A2386">
              <w:rPr>
                <w:i/>
              </w:rPr>
              <w:t xml:space="preserve"> den </w:t>
            </w:r>
            <w:proofErr w:type="spellStart"/>
            <w:r w:rsidRPr="008A2386">
              <w:rPr>
                <w:i/>
              </w:rPr>
              <w:t>Ausländerunterricht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Berlin: </w:t>
            </w:r>
            <w:proofErr w:type="spellStart"/>
            <w:r w:rsidRPr="008A2386">
              <w:t>Langenscheidt</w:t>
            </w:r>
            <w:proofErr w:type="spellEnd"/>
            <w:r w:rsidRPr="008A2386">
              <w:t>.</w:t>
            </w:r>
          </w:p>
        </w:tc>
      </w:tr>
      <w:tr w:rsidR="00AC4062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4062" w:rsidRPr="008A2386" w:rsidRDefault="00AC4062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rPr>
                <w:sz w:val="21"/>
                <w:szCs w:val="21"/>
              </w:rPr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AC4062" w:rsidRPr="008A2386" w:rsidTr="00E0296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AC4062" w:rsidRPr="008A2386" w:rsidRDefault="00AC4062" w:rsidP="00AC4062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AC4062" w:rsidRPr="008A2386" w:rsidRDefault="00AC4062" w:rsidP="00AC4062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>Átlátja a szakiránynak megfelelő nyelvű szövegek és kulturális jelenségek befogadásának bevett eljárásait, az értelmezés szakmailag elfogadott kontextusait.</w:t>
            </w:r>
          </w:p>
          <w:p w:rsidR="00AC4062" w:rsidRPr="008A2386" w:rsidRDefault="00AC4062" w:rsidP="00AC4062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>Ismeri a szakiránynak megfelelő germán nyelv beszélt és írott változatának szabályait, ismeretekkel rendelkezik az elvégzett szakiránynak megfelelő nyelv variánsairól, regisztereiről.</w:t>
            </w:r>
          </w:p>
          <w:p w:rsidR="00AC4062" w:rsidRPr="008A2386" w:rsidRDefault="00AC4062" w:rsidP="00AC4062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képességei</w:t>
            </w:r>
          </w:p>
          <w:p w:rsidR="00AC4062" w:rsidRPr="008A2386" w:rsidRDefault="00AC4062" w:rsidP="00AC4062">
            <w:pPr>
              <w:pStyle w:val="Listaszerbekezds"/>
              <w:numPr>
                <w:ilvl w:val="0"/>
                <w:numId w:val="1"/>
              </w:numPr>
              <w:suppressAutoHyphens/>
            </w:pPr>
            <w:r w:rsidRPr="008A2386">
              <w:t>Képes műfajilag sokszínű, a szakiránynak megfelelő nyelvű szövegek és kulturális jelenségek értelmezésére.</w:t>
            </w:r>
          </w:p>
          <w:p w:rsidR="00AC4062" w:rsidRPr="008A2386" w:rsidRDefault="00AC4062" w:rsidP="00E0296E">
            <w:pPr>
              <w:suppressAutoHyphens/>
              <w:ind w:left="176"/>
            </w:pPr>
            <w:r w:rsidRPr="008A2386">
              <w:t>A szinkron nyelvállapot fonetikai, fonológiai, morfológiai, szintaktikai, szemantikai, pragmatikai, valamint diskurzusszintű jellemzőinek és ezek összefüggéseinek ismeretében képes a szakiránynak megfelelő nyelv gördülékeny, helyes, magabiztos, a mindenkori kontextusba illő használatára.</w:t>
            </w:r>
          </w:p>
        </w:tc>
      </w:tr>
    </w:tbl>
    <w:p w:rsidR="00AC4062" w:rsidRPr="008A2386" w:rsidRDefault="00AC4062" w:rsidP="00AC406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AC4062" w:rsidRPr="008A2386" w:rsidTr="00E0296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lastRenderedPageBreak/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b/>
              </w:rPr>
              <w:t>Haase</w:t>
            </w:r>
            <w:proofErr w:type="spellEnd"/>
            <w:r w:rsidRPr="008A2386">
              <w:rPr>
                <w:b/>
              </w:rPr>
              <w:t xml:space="preserve"> Zsófia, egyetemi adjunktus, PhD.</w:t>
            </w:r>
          </w:p>
        </w:tc>
      </w:tr>
      <w:tr w:rsidR="00AC4062" w:rsidRPr="008A2386" w:rsidTr="00E0296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</w:rPr>
            </w:pPr>
            <w:proofErr w:type="spellStart"/>
            <w:r w:rsidRPr="008A2386">
              <w:rPr>
                <w:b/>
              </w:rPr>
              <w:t>Haase</w:t>
            </w:r>
            <w:proofErr w:type="spellEnd"/>
            <w:r w:rsidRPr="008A2386">
              <w:rPr>
                <w:b/>
              </w:rPr>
              <w:t xml:space="preserve"> Zsófia, egyetemi adjunktus, PhD.</w:t>
            </w:r>
          </w:p>
          <w:p w:rsidR="00AC4062" w:rsidRPr="008A2386" w:rsidRDefault="00AC406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…………………..….</w:t>
            </w:r>
          </w:p>
        </w:tc>
      </w:tr>
    </w:tbl>
    <w:p w:rsidR="00AC4062" w:rsidRPr="008A2386" w:rsidRDefault="00AC4062" w:rsidP="00AC4062"/>
    <w:p w:rsidR="00AC4062" w:rsidRPr="008A2386" w:rsidRDefault="00AC4062" w:rsidP="00AC4062">
      <w:r w:rsidRPr="008A2386">
        <w:br w:type="page"/>
      </w:r>
    </w:p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DA" w:rsidRDefault="00BF53DA" w:rsidP="00AC4062">
      <w:r>
        <w:separator/>
      </w:r>
    </w:p>
  </w:endnote>
  <w:endnote w:type="continuationSeparator" w:id="0">
    <w:p w:rsidR="00BF53DA" w:rsidRDefault="00BF53DA" w:rsidP="00AC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DA" w:rsidRDefault="00BF53DA" w:rsidP="00AC4062">
      <w:r>
        <w:separator/>
      </w:r>
    </w:p>
  </w:footnote>
  <w:footnote w:type="continuationSeparator" w:id="0">
    <w:p w:rsidR="00BF53DA" w:rsidRDefault="00BF53DA" w:rsidP="00AC4062">
      <w:r>
        <w:continuationSeparator/>
      </w:r>
    </w:p>
  </w:footnote>
  <w:footnote w:id="1">
    <w:p w:rsidR="00AC4062" w:rsidRPr="00A5216A" w:rsidRDefault="00AC4062" w:rsidP="00AC4062">
      <w:pPr>
        <w:pStyle w:val="Lbjegyzetszveg"/>
        <w:ind w:left="142" w:hanging="142"/>
        <w:rPr>
          <w:sz w:val="4"/>
          <w:szCs w:val="4"/>
        </w:rPr>
      </w:pPr>
    </w:p>
    <w:p w:rsidR="00AC4062" w:rsidRPr="0003723C" w:rsidRDefault="00AC4062" w:rsidP="00AC406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C4062" w:rsidRPr="00CD5314" w:rsidRDefault="00AC4062" w:rsidP="00AC406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AC4062" w:rsidRPr="00CD5314" w:rsidRDefault="00AC4062" w:rsidP="00AC406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62"/>
    <w:rsid w:val="00AC4062"/>
    <w:rsid w:val="00BF53DA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C40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C4062"/>
  </w:style>
  <w:style w:type="character" w:customStyle="1" w:styleId="LbjegyzetszvegChar">
    <w:name w:val="Lábjegyzetszöveg Char"/>
    <w:basedOn w:val="Bekezdsalapbettpusa"/>
    <w:link w:val="Lbjegyzetszveg"/>
    <w:semiHidden/>
    <w:rsid w:val="00AC40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2021-11-03T10:47:00Z</dcterms:created>
  <dcterms:modified xsi:type="dcterms:W3CDTF">2021-11-03T10:47:00Z</dcterms:modified>
</cp:coreProperties>
</file>