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0B" w:rsidRPr="00846E0B" w:rsidRDefault="00846E0B" w:rsidP="00846E0B">
      <w:pPr>
        <w:suppressAutoHyphens/>
        <w:rPr>
          <w:color w:val="333399"/>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2179"/>
      </w:tblGrid>
      <w:tr w:rsidR="00846E0B" w:rsidRPr="00846E0B" w:rsidTr="001714D3">
        <w:tc>
          <w:tcPr>
            <w:tcW w:w="6859" w:type="dxa"/>
            <w:tcBorders>
              <w:top w:val="single" w:sz="4" w:space="0" w:color="auto"/>
              <w:left w:val="single" w:sz="4" w:space="0" w:color="auto"/>
              <w:right w:val="single" w:sz="4" w:space="0" w:color="auto"/>
            </w:tcBorders>
            <w:shd w:val="clear" w:color="auto" w:fill="auto"/>
            <w:tcMar>
              <w:top w:w="57" w:type="dxa"/>
              <w:bottom w:w="57" w:type="dxa"/>
            </w:tcMar>
          </w:tcPr>
          <w:p w:rsidR="00846E0B" w:rsidRPr="00846E0B" w:rsidRDefault="00846E0B" w:rsidP="00474F46">
            <w:pPr>
              <w:suppressAutoHyphens/>
              <w:jc w:val="both"/>
              <w:rPr>
                <w:b/>
                <w:i/>
                <w:sz w:val="22"/>
                <w:szCs w:val="22"/>
              </w:rPr>
            </w:pPr>
            <w:r w:rsidRPr="00846E0B">
              <w:rPr>
                <w:b/>
                <w:sz w:val="22"/>
                <w:szCs w:val="22"/>
              </w:rPr>
              <w:t xml:space="preserve">(1.) </w:t>
            </w:r>
            <w:r w:rsidRPr="00846E0B">
              <w:rPr>
                <w:b/>
                <w:sz w:val="22"/>
                <w:szCs w:val="22"/>
                <w:highlight w:val="green"/>
              </w:rPr>
              <w:t xml:space="preserve">Tantárgy </w:t>
            </w:r>
            <w:r w:rsidRPr="00846E0B">
              <w:rPr>
                <w:sz w:val="22"/>
                <w:szCs w:val="22"/>
                <w:highlight w:val="green"/>
              </w:rPr>
              <w:t>neve</w:t>
            </w:r>
            <w:r w:rsidRPr="00846E0B">
              <w:rPr>
                <w:sz w:val="22"/>
                <w:szCs w:val="22"/>
              </w:rPr>
              <w:t>:</w:t>
            </w:r>
            <w:r w:rsidRPr="00846E0B">
              <w:rPr>
                <w:b/>
                <w:sz w:val="22"/>
                <w:szCs w:val="22"/>
              </w:rPr>
              <w:t xml:space="preserve"> </w:t>
            </w:r>
            <w:r w:rsidR="009C0E71" w:rsidRPr="009C0E71">
              <w:rPr>
                <w:b/>
                <w:sz w:val="22"/>
                <w:szCs w:val="22"/>
              </w:rPr>
              <w:t xml:space="preserve">Interkulturális kommunikáció </w:t>
            </w:r>
          </w:p>
        </w:tc>
        <w:tc>
          <w:tcPr>
            <w:tcW w:w="2179" w:type="dxa"/>
            <w:tcBorders>
              <w:top w:val="single" w:sz="4" w:space="0" w:color="auto"/>
              <w:left w:val="single" w:sz="4" w:space="0" w:color="auto"/>
              <w:right w:val="single" w:sz="4" w:space="0" w:color="auto"/>
            </w:tcBorders>
            <w:shd w:val="clear" w:color="auto" w:fill="auto"/>
            <w:tcMar>
              <w:top w:w="57" w:type="dxa"/>
              <w:bottom w:w="57" w:type="dxa"/>
            </w:tcMar>
          </w:tcPr>
          <w:p w:rsidR="00846E0B" w:rsidRPr="00846E0B" w:rsidRDefault="00846E0B" w:rsidP="00474F46">
            <w:pPr>
              <w:suppressAutoHyphens/>
              <w:spacing w:before="60"/>
              <w:jc w:val="both"/>
              <w:rPr>
                <w:b/>
                <w:sz w:val="22"/>
                <w:szCs w:val="22"/>
              </w:rPr>
            </w:pPr>
          </w:p>
        </w:tc>
      </w:tr>
      <w:tr w:rsidR="00846E0B" w:rsidRPr="00846E0B" w:rsidTr="001714D3">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846E0B" w:rsidRPr="00846E0B" w:rsidRDefault="00846E0B" w:rsidP="00474F46">
            <w:pPr>
              <w:suppressAutoHyphens/>
              <w:spacing w:before="60"/>
              <w:jc w:val="both"/>
              <w:rPr>
                <w:sz w:val="22"/>
                <w:szCs w:val="22"/>
              </w:rPr>
            </w:pPr>
            <w:r w:rsidRPr="00846E0B">
              <w:rPr>
                <w:sz w:val="22"/>
                <w:szCs w:val="22"/>
                <w:highlight w:val="green"/>
              </w:rPr>
              <w:t xml:space="preserve">A </w:t>
            </w:r>
            <w:r w:rsidRPr="00846E0B">
              <w:rPr>
                <w:b/>
                <w:sz w:val="22"/>
                <w:szCs w:val="22"/>
                <w:highlight w:val="green"/>
              </w:rPr>
              <w:t>tanóra</w:t>
            </w:r>
            <w:r w:rsidRPr="00846E0B">
              <w:rPr>
                <w:rStyle w:val="Lbjegyzet-hivatkozs"/>
                <w:b/>
                <w:sz w:val="22"/>
                <w:szCs w:val="22"/>
                <w:highlight w:val="green"/>
              </w:rPr>
              <w:footnoteReference w:id="1"/>
            </w:r>
            <w:r w:rsidRPr="00846E0B">
              <w:rPr>
                <w:b/>
                <w:sz w:val="22"/>
                <w:szCs w:val="22"/>
                <w:highlight w:val="green"/>
              </w:rPr>
              <w:t xml:space="preserve"> típusa</w:t>
            </w:r>
            <w:r w:rsidRPr="00846E0B">
              <w:rPr>
                <w:sz w:val="22"/>
                <w:szCs w:val="22"/>
              </w:rPr>
              <w:t xml:space="preserve">: szem. és </w:t>
            </w:r>
            <w:r w:rsidRPr="00846E0B">
              <w:rPr>
                <w:b/>
                <w:sz w:val="22"/>
                <w:szCs w:val="22"/>
                <w:highlight w:val="green"/>
              </w:rPr>
              <w:t>óraszáma</w:t>
            </w:r>
            <w:r w:rsidRPr="00846E0B">
              <w:rPr>
                <w:sz w:val="22"/>
                <w:szCs w:val="22"/>
              </w:rPr>
              <w:t xml:space="preserve">: </w:t>
            </w:r>
            <w:r w:rsidR="006B1570">
              <w:rPr>
                <w:b/>
                <w:sz w:val="22"/>
                <w:szCs w:val="22"/>
              </w:rPr>
              <w:t>2</w:t>
            </w:r>
            <w:r w:rsidRPr="00846E0B">
              <w:rPr>
                <w:b/>
                <w:sz w:val="22"/>
                <w:szCs w:val="22"/>
              </w:rPr>
              <w:t xml:space="preserve"> </w:t>
            </w:r>
            <w:r w:rsidRPr="00846E0B">
              <w:rPr>
                <w:sz w:val="22"/>
                <w:szCs w:val="22"/>
              </w:rPr>
              <w:t xml:space="preserve">az adott </w:t>
            </w:r>
            <w:r w:rsidRPr="00846E0B">
              <w:rPr>
                <w:b/>
                <w:sz w:val="22"/>
                <w:szCs w:val="22"/>
              </w:rPr>
              <w:t>félévben</w:t>
            </w:r>
            <w:r w:rsidRPr="00846E0B">
              <w:rPr>
                <w:sz w:val="22"/>
                <w:szCs w:val="22"/>
              </w:rPr>
              <w:t>,</w:t>
            </w:r>
          </w:p>
          <w:p w:rsidR="00846E0B" w:rsidRPr="00846E0B" w:rsidRDefault="00846E0B" w:rsidP="00474F46">
            <w:pPr>
              <w:suppressAutoHyphens/>
              <w:spacing w:before="60"/>
              <w:jc w:val="both"/>
              <w:rPr>
                <w:sz w:val="22"/>
                <w:szCs w:val="22"/>
              </w:rPr>
            </w:pPr>
            <w:r w:rsidRPr="00846E0B">
              <w:rPr>
                <w:sz w:val="22"/>
                <w:szCs w:val="22"/>
              </w:rPr>
              <w:t>(</w:t>
            </w:r>
            <w:r w:rsidRPr="00846E0B">
              <w:rPr>
                <w:i/>
                <w:sz w:val="22"/>
                <w:szCs w:val="22"/>
              </w:rPr>
              <w:t xml:space="preserve">ha nem (csak) magyarul oktatják a tárgyat, akkor a </w:t>
            </w:r>
            <w:r w:rsidRPr="00846E0B">
              <w:rPr>
                <w:b/>
                <w:i/>
                <w:sz w:val="22"/>
                <w:szCs w:val="22"/>
              </w:rPr>
              <w:t>nyelve</w:t>
            </w:r>
            <w:r w:rsidRPr="00846E0B">
              <w:rPr>
                <w:i/>
                <w:sz w:val="22"/>
                <w:szCs w:val="22"/>
              </w:rPr>
              <w:t xml:space="preserve">: </w:t>
            </w:r>
            <w:r w:rsidR="006B1570">
              <w:rPr>
                <w:i/>
                <w:sz w:val="22"/>
                <w:szCs w:val="22"/>
              </w:rPr>
              <w:t>német</w:t>
            </w:r>
            <w:r w:rsidRPr="00846E0B">
              <w:rPr>
                <w:i/>
                <w:sz w:val="22"/>
                <w:szCs w:val="22"/>
              </w:rPr>
              <w:t>)</w:t>
            </w:r>
          </w:p>
          <w:p w:rsidR="00846E0B" w:rsidRPr="00846E0B" w:rsidRDefault="00846E0B" w:rsidP="00474F46">
            <w:pPr>
              <w:suppressAutoHyphens/>
              <w:spacing w:before="60"/>
              <w:jc w:val="both"/>
              <w:rPr>
                <w:sz w:val="22"/>
                <w:szCs w:val="22"/>
              </w:rPr>
            </w:pPr>
          </w:p>
        </w:tc>
      </w:tr>
      <w:tr w:rsidR="00846E0B" w:rsidRPr="00846E0B" w:rsidTr="001714D3">
        <w:tc>
          <w:tcPr>
            <w:tcW w:w="9038" w:type="dxa"/>
            <w:gridSpan w:val="2"/>
            <w:tcBorders>
              <w:left w:val="single" w:sz="4" w:space="0" w:color="auto"/>
              <w:right w:val="single" w:sz="4" w:space="0" w:color="auto"/>
            </w:tcBorders>
            <w:shd w:val="clear" w:color="auto" w:fill="auto"/>
            <w:tcMar>
              <w:top w:w="57" w:type="dxa"/>
              <w:bottom w:w="57" w:type="dxa"/>
            </w:tcMar>
          </w:tcPr>
          <w:p w:rsidR="00846E0B" w:rsidRPr="00846E0B" w:rsidRDefault="00846E0B" w:rsidP="00474F46">
            <w:pPr>
              <w:suppressAutoHyphens/>
              <w:spacing w:before="60"/>
              <w:jc w:val="both"/>
              <w:rPr>
                <w:sz w:val="22"/>
                <w:szCs w:val="22"/>
              </w:rPr>
            </w:pPr>
            <w:r w:rsidRPr="00846E0B">
              <w:rPr>
                <w:sz w:val="22"/>
                <w:szCs w:val="22"/>
              </w:rPr>
              <w:t xml:space="preserve">A </w:t>
            </w:r>
            <w:r w:rsidRPr="00846E0B">
              <w:rPr>
                <w:b/>
                <w:sz w:val="22"/>
                <w:szCs w:val="22"/>
                <w:highlight w:val="green"/>
              </w:rPr>
              <w:t>számonkérés</w:t>
            </w:r>
            <w:r w:rsidRPr="00846E0B">
              <w:rPr>
                <w:b/>
                <w:sz w:val="22"/>
                <w:szCs w:val="22"/>
              </w:rPr>
              <w:t xml:space="preserve"> </w:t>
            </w:r>
            <w:r w:rsidRPr="00846E0B">
              <w:rPr>
                <w:sz w:val="22"/>
                <w:szCs w:val="22"/>
              </w:rPr>
              <w:t>módja (</w:t>
            </w:r>
            <w:proofErr w:type="spellStart"/>
            <w:r w:rsidRPr="00846E0B">
              <w:rPr>
                <w:sz w:val="22"/>
                <w:szCs w:val="22"/>
              </w:rPr>
              <w:t>koll</w:t>
            </w:r>
            <w:proofErr w:type="spellEnd"/>
            <w:r w:rsidRPr="00846E0B">
              <w:rPr>
                <w:sz w:val="22"/>
                <w:szCs w:val="22"/>
              </w:rPr>
              <w:t xml:space="preserve">. / </w:t>
            </w:r>
            <w:proofErr w:type="spellStart"/>
            <w:r w:rsidRPr="00846E0B">
              <w:rPr>
                <w:sz w:val="22"/>
                <w:szCs w:val="22"/>
              </w:rPr>
              <w:t>gyj</w:t>
            </w:r>
            <w:proofErr w:type="spellEnd"/>
            <w:r w:rsidRPr="00846E0B">
              <w:rPr>
                <w:sz w:val="22"/>
                <w:szCs w:val="22"/>
              </w:rPr>
              <w:t xml:space="preserve">. / </w:t>
            </w:r>
            <w:r w:rsidRPr="00846E0B">
              <w:rPr>
                <w:b/>
                <w:sz w:val="22"/>
                <w:szCs w:val="22"/>
              </w:rPr>
              <w:t>egyéb</w:t>
            </w:r>
            <w:r w:rsidRPr="00846E0B">
              <w:rPr>
                <w:rStyle w:val="Lbjegyzet-hivatkozs"/>
                <w:b/>
                <w:sz w:val="22"/>
                <w:szCs w:val="22"/>
              </w:rPr>
              <w:footnoteReference w:id="2"/>
            </w:r>
            <w:r w:rsidRPr="00846E0B">
              <w:rPr>
                <w:b/>
                <w:sz w:val="22"/>
                <w:szCs w:val="22"/>
              </w:rPr>
              <w:t>)</w:t>
            </w:r>
            <w:r w:rsidRPr="00846E0B">
              <w:rPr>
                <w:sz w:val="22"/>
                <w:szCs w:val="22"/>
              </w:rPr>
              <w:t xml:space="preserve">: </w:t>
            </w:r>
            <w:proofErr w:type="spellStart"/>
            <w:r w:rsidR="006B1570">
              <w:rPr>
                <w:sz w:val="22"/>
                <w:szCs w:val="22"/>
              </w:rPr>
              <w:t>gyj</w:t>
            </w:r>
            <w:proofErr w:type="spellEnd"/>
            <w:r w:rsidR="006B1570">
              <w:rPr>
                <w:sz w:val="22"/>
                <w:szCs w:val="22"/>
              </w:rPr>
              <w:t>.</w:t>
            </w:r>
          </w:p>
          <w:p w:rsidR="00846E0B" w:rsidRPr="00846E0B" w:rsidRDefault="00846E0B" w:rsidP="00474F46">
            <w:pPr>
              <w:suppressAutoHyphens/>
              <w:spacing w:before="60"/>
              <w:jc w:val="both"/>
              <w:rPr>
                <w:b/>
                <w:sz w:val="22"/>
                <w:szCs w:val="22"/>
              </w:rPr>
            </w:pPr>
          </w:p>
        </w:tc>
      </w:tr>
    </w:tbl>
    <w:p w:rsidR="00846E0B" w:rsidRPr="00846E0B" w:rsidRDefault="00846E0B" w:rsidP="00846E0B">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8"/>
      </w:tblGrid>
      <w:tr w:rsidR="00846E0B" w:rsidRPr="00846E0B" w:rsidTr="001714D3">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6E0B" w:rsidRPr="00846E0B" w:rsidRDefault="00846E0B" w:rsidP="00474F46">
            <w:pPr>
              <w:suppressAutoHyphens/>
              <w:spacing w:before="60"/>
              <w:jc w:val="both"/>
              <w:rPr>
                <w:b/>
                <w:sz w:val="22"/>
                <w:szCs w:val="22"/>
              </w:rPr>
            </w:pPr>
            <w:r w:rsidRPr="00846E0B">
              <w:rPr>
                <w:b/>
                <w:sz w:val="22"/>
                <w:szCs w:val="22"/>
                <w:highlight w:val="green"/>
              </w:rPr>
              <w:t>Tantárgy-leírás</w:t>
            </w:r>
            <w:r w:rsidRPr="00846E0B">
              <w:rPr>
                <w:sz w:val="22"/>
                <w:szCs w:val="22"/>
              </w:rPr>
              <w:t xml:space="preserve">: az elsajátítandó </w:t>
            </w:r>
            <w:r w:rsidRPr="00846E0B">
              <w:rPr>
                <w:b/>
                <w:sz w:val="22"/>
                <w:szCs w:val="22"/>
              </w:rPr>
              <w:t>ismeretanyag tömör, ugyanakkor informáló leírása</w:t>
            </w:r>
          </w:p>
        </w:tc>
      </w:tr>
      <w:tr w:rsidR="00846E0B" w:rsidRPr="00846E0B" w:rsidTr="001714D3">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C0E71" w:rsidRPr="009C0E71" w:rsidRDefault="009C0E71" w:rsidP="009C0E71">
            <w:pPr>
              <w:suppressAutoHyphens/>
              <w:ind w:left="34"/>
              <w:rPr>
                <w:sz w:val="22"/>
                <w:szCs w:val="22"/>
              </w:rPr>
            </w:pPr>
            <w:r w:rsidRPr="009C0E71">
              <w:rPr>
                <w:sz w:val="22"/>
                <w:szCs w:val="22"/>
              </w:rPr>
              <w:t xml:space="preserve">Az azonos című előadáshoz tartozó kísérőszeminárium át akarja adni az interkulturális kommunikáció tárgyhoz, az interkulturális kommunikáció szak történetéhez és identitásához, valamint az alapvető elméleteihez és módszereihez tartozó alapvető ismereteit. Különös hangsúlyt fektetünk az interkulturális elmélet és gyakorlat átszövődésére. Előtérbe kerül az elméleti szövegek tanulmányozása, az interaktív reflexió, a tapasztalatokon alapuló tanulás csoport- vagy egyéni munkában, valamint beszámolók tartása. </w:t>
            </w:r>
          </w:p>
          <w:p w:rsidR="009C0E71" w:rsidRPr="009C0E71" w:rsidRDefault="009C0E71" w:rsidP="009C0E71">
            <w:pPr>
              <w:suppressAutoHyphens/>
              <w:ind w:left="34"/>
              <w:rPr>
                <w:sz w:val="22"/>
                <w:szCs w:val="22"/>
              </w:rPr>
            </w:pPr>
            <w:r w:rsidRPr="009C0E71">
              <w:rPr>
                <w:sz w:val="22"/>
                <w:szCs w:val="22"/>
              </w:rPr>
              <w:t xml:space="preserve">Tematikai súlypontok: </w:t>
            </w:r>
          </w:p>
          <w:p w:rsidR="009C0E71" w:rsidRPr="009C0E71" w:rsidRDefault="009C0E71" w:rsidP="009C0E71">
            <w:pPr>
              <w:suppressAutoHyphens/>
              <w:ind w:left="34"/>
              <w:rPr>
                <w:sz w:val="22"/>
                <w:szCs w:val="22"/>
              </w:rPr>
            </w:pPr>
          </w:p>
          <w:p w:rsidR="009C0E71" w:rsidRPr="009C0E71" w:rsidRDefault="009C0E71" w:rsidP="009C0E71">
            <w:pPr>
              <w:pStyle w:val="Listaszerbekezds"/>
              <w:numPr>
                <w:ilvl w:val="0"/>
                <w:numId w:val="4"/>
              </w:numPr>
              <w:suppressAutoHyphens/>
              <w:rPr>
                <w:sz w:val="22"/>
                <w:szCs w:val="22"/>
              </w:rPr>
            </w:pPr>
            <w:r w:rsidRPr="009C0E71">
              <w:rPr>
                <w:sz w:val="22"/>
                <w:szCs w:val="22"/>
              </w:rPr>
              <w:t>Az IKK szak keletkezése és fejlődése</w:t>
            </w:r>
          </w:p>
          <w:p w:rsidR="009C0E71" w:rsidRPr="009C0E71" w:rsidRDefault="009C0E71" w:rsidP="009C0E71">
            <w:pPr>
              <w:pStyle w:val="Listaszerbekezds"/>
              <w:numPr>
                <w:ilvl w:val="0"/>
                <w:numId w:val="4"/>
              </w:numPr>
              <w:suppressAutoHyphens/>
              <w:rPr>
                <w:sz w:val="22"/>
                <w:szCs w:val="22"/>
              </w:rPr>
            </w:pPr>
            <w:r w:rsidRPr="009C0E71">
              <w:rPr>
                <w:sz w:val="22"/>
                <w:szCs w:val="22"/>
              </w:rPr>
              <w:t>A kultúra fogalom</w:t>
            </w:r>
          </w:p>
          <w:p w:rsidR="009C0E71" w:rsidRPr="009C0E71" w:rsidRDefault="009C0E71" w:rsidP="009C0E71">
            <w:pPr>
              <w:pStyle w:val="Listaszerbekezds"/>
              <w:numPr>
                <w:ilvl w:val="0"/>
                <w:numId w:val="4"/>
              </w:numPr>
              <w:suppressAutoHyphens/>
              <w:rPr>
                <w:sz w:val="22"/>
                <w:szCs w:val="22"/>
              </w:rPr>
            </w:pPr>
            <w:r w:rsidRPr="009C0E71">
              <w:rPr>
                <w:sz w:val="22"/>
                <w:szCs w:val="22"/>
              </w:rPr>
              <w:t>Etnológia és kulturális relativizmus</w:t>
            </w:r>
          </w:p>
          <w:p w:rsidR="009C0E71" w:rsidRPr="009C0E71" w:rsidRDefault="009C0E71" w:rsidP="009C0E71">
            <w:pPr>
              <w:pStyle w:val="Listaszerbekezds"/>
              <w:numPr>
                <w:ilvl w:val="0"/>
                <w:numId w:val="4"/>
              </w:numPr>
              <w:suppressAutoHyphens/>
              <w:rPr>
                <w:sz w:val="22"/>
                <w:szCs w:val="22"/>
              </w:rPr>
            </w:pPr>
            <w:r w:rsidRPr="009C0E71">
              <w:rPr>
                <w:sz w:val="22"/>
                <w:szCs w:val="22"/>
              </w:rPr>
              <w:t>Észlelés és IKK</w:t>
            </w:r>
          </w:p>
          <w:p w:rsidR="009C0E71" w:rsidRPr="009C0E71" w:rsidRDefault="009C0E71" w:rsidP="009C0E71">
            <w:pPr>
              <w:pStyle w:val="Listaszerbekezds"/>
              <w:numPr>
                <w:ilvl w:val="0"/>
                <w:numId w:val="4"/>
              </w:numPr>
              <w:suppressAutoHyphens/>
              <w:rPr>
                <w:sz w:val="22"/>
                <w:szCs w:val="22"/>
              </w:rPr>
            </w:pPr>
            <w:r w:rsidRPr="009C0E71">
              <w:rPr>
                <w:sz w:val="22"/>
                <w:szCs w:val="22"/>
              </w:rPr>
              <w:t>Kulturális szűrők: az észlelés eltorzítása</w:t>
            </w:r>
          </w:p>
          <w:p w:rsidR="009C0E71" w:rsidRPr="009C0E71" w:rsidRDefault="009C0E71" w:rsidP="009C0E71">
            <w:pPr>
              <w:pStyle w:val="Listaszerbekezds"/>
              <w:numPr>
                <w:ilvl w:val="0"/>
                <w:numId w:val="4"/>
              </w:numPr>
              <w:suppressAutoHyphens/>
              <w:rPr>
                <w:sz w:val="22"/>
                <w:szCs w:val="22"/>
              </w:rPr>
            </w:pPr>
            <w:r w:rsidRPr="009C0E71">
              <w:rPr>
                <w:sz w:val="22"/>
                <w:szCs w:val="22"/>
              </w:rPr>
              <w:t>Az idegen redukcionista észlelése</w:t>
            </w:r>
          </w:p>
          <w:p w:rsidR="009C0E71" w:rsidRPr="009C0E71" w:rsidRDefault="009C0E71" w:rsidP="009C0E71">
            <w:pPr>
              <w:pStyle w:val="Listaszerbekezds"/>
              <w:numPr>
                <w:ilvl w:val="0"/>
                <w:numId w:val="4"/>
              </w:numPr>
              <w:suppressAutoHyphens/>
              <w:rPr>
                <w:sz w:val="22"/>
                <w:szCs w:val="22"/>
              </w:rPr>
            </w:pPr>
            <w:r w:rsidRPr="009C0E71">
              <w:rPr>
                <w:sz w:val="22"/>
                <w:szCs w:val="22"/>
              </w:rPr>
              <w:t>Történelmi antropológia: az idegen észlelésének négy paradigmája</w:t>
            </w:r>
          </w:p>
          <w:p w:rsidR="009C0E71" w:rsidRPr="009C0E71" w:rsidRDefault="009C0E71" w:rsidP="009C0E71">
            <w:pPr>
              <w:pStyle w:val="Listaszerbekezds"/>
              <w:numPr>
                <w:ilvl w:val="0"/>
                <w:numId w:val="4"/>
              </w:numPr>
              <w:suppressAutoHyphens/>
              <w:rPr>
                <w:sz w:val="22"/>
                <w:szCs w:val="22"/>
              </w:rPr>
            </w:pPr>
            <w:r w:rsidRPr="009C0E71">
              <w:rPr>
                <w:sz w:val="22"/>
                <w:szCs w:val="22"/>
              </w:rPr>
              <w:t xml:space="preserve">Primitivizmus és </w:t>
            </w:r>
            <w:proofErr w:type="spellStart"/>
            <w:r w:rsidRPr="009C0E71">
              <w:rPr>
                <w:sz w:val="22"/>
                <w:szCs w:val="22"/>
              </w:rPr>
              <w:t>e</w:t>
            </w:r>
            <w:r w:rsidR="00E01233">
              <w:rPr>
                <w:sz w:val="22"/>
                <w:szCs w:val="22"/>
              </w:rPr>
              <w:t>gz</w:t>
            </w:r>
            <w:bookmarkStart w:id="0" w:name="_GoBack"/>
            <w:bookmarkEnd w:id="0"/>
            <w:r w:rsidRPr="009C0E71">
              <w:rPr>
                <w:sz w:val="22"/>
                <w:szCs w:val="22"/>
              </w:rPr>
              <w:t>otizmus</w:t>
            </w:r>
            <w:proofErr w:type="spellEnd"/>
          </w:p>
          <w:p w:rsidR="009C0E71" w:rsidRPr="009C0E71" w:rsidRDefault="009C0E71" w:rsidP="009C0E71">
            <w:pPr>
              <w:pStyle w:val="Listaszerbekezds"/>
              <w:numPr>
                <w:ilvl w:val="0"/>
                <w:numId w:val="4"/>
              </w:numPr>
              <w:suppressAutoHyphens/>
              <w:rPr>
                <w:sz w:val="22"/>
                <w:szCs w:val="22"/>
              </w:rPr>
            </w:pPr>
            <w:r w:rsidRPr="009C0E71">
              <w:rPr>
                <w:sz w:val="22"/>
                <w:szCs w:val="22"/>
              </w:rPr>
              <w:t xml:space="preserve">Kommunikáció: nonverbális és </w:t>
            </w:r>
            <w:proofErr w:type="spellStart"/>
            <w:r w:rsidRPr="009C0E71">
              <w:rPr>
                <w:sz w:val="22"/>
                <w:szCs w:val="22"/>
              </w:rPr>
              <w:t>paraverbális</w:t>
            </w:r>
            <w:proofErr w:type="spellEnd"/>
            <w:r w:rsidRPr="009C0E71">
              <w:rPr>
                <w:sz w:val="22"/>
                <w:szCs w:val="22"/>
              </w:rPr>
              <w:t xml:space="preserve"> kommunikáció</w:t>
            </w:r>
          </w:p>
          <w:p w:rsidR="00846E0B" w:rsidRPr="009C0E71" w:rsidRDefault="009C0E71" w:rsidP="009C0E71">
            <w:pPr>
              <w:pStyle w:val="Listaszerbekezds"/>
              <w:numPr>
                <w:ilvl w:val="0"/>
                <w:numId w:val="4"/>
              </w:numPr>
              <w:suppressAutoHyphens/>
              <w:rPr>
                <w:sz w:val="22"/>
                <w:szCs w:val="22"/>
              </w:rPr>
            </w:pPr>
            <w:r w:rsidRPr="009C0E71">
              <w:rPr>
                <w:sz w:val="22"/>
                <w:szCs w:val="22"/>
              </w:rPr>
              <w:t>Kommunikáció: verbális kommunikáció</w:t>
            </w:r>
          </w:p>
        </w:tc>
      </w:tr>
      <w:tr w:rsidR="00846E0B" w:rsidRPr="00846E0B" w:rsidTr="001714D3">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846E0B" w:rsidRPr="00846E0B" w:rsidRDefault="00846E0B" w:rsidP="00474F46">
            <w:pPr>
              <w:suppressAutoHyphens/>
              <w:ind w:right="-108"/>
              <w:rPr>
                <w:b/>
                <w:sz w:val="22"/>
                <w:szCs w:val="22"/>
              </w:rPr>
            </w:pPr>
            <w:r w:rsidRPr="00846E0B">
              <w:rPr>
                <w:sz w:val="22"/>
                <w:szCs w:val="22"/>
              </w:rPr>
              <w:t xml:space="preserve">A </w:t>
            </w:r>
            <w:r w:rsidRPr="00846E0B">
              <w:rPr>
                <w:b/>
                <w:sz w:val="22"/>
                <w:szCs w:val="22"/>
                <w:highlight w:val="green"/>
              </w:rPr>
              <w:t>2-5</w:t>
            </w:r>
            <w:r w:rsidRPr="00846E0B">
              <w:rPr>
                <w:sz w:val="22"/>
                <w:szCs w:val="22"/>
              </w:rPr>
              <w:t xml:space="preserve"> legfontosabb </w:t>
            </w:r>
            <w:r w:rsidRPr="00846E0B">
              <w:rPr>
                <w:i/>
                <w:sz w:val="22"/>
                <w:szCs w:val="22"/>
              </w:rPr>
              <w:t>kötelező,</w:t>
            </w:r>
            <w:r w:rsidRPr="00846E0B">
              <w:rPr>
                <w:sz w:val="22"/>
                <w:szCs w:val="22"/>
              </w:rPr>
              <w:t xml:space="preserve"> illetve </w:t>
            </w:r>
            <w:r w:rsidRPr="00846E0B">
              <w:rPr>
                <w:i/>
                <w:sz w:val="22"/>
                <w:szCs w:val="22"/>
              </w:rPr>
              <w:t>ajánlott</w:t>
            </w:r>
            <w:r w:rsidRPr="00846E0B">
              <w:rPr>
                <w:b/>
                <w:i/>
                <w:sz w:val="22"/>
                <w:szCs w:val="22"/>
              </w:rPr>
              <w:t xml:space="preserve"> </w:t>
            </w:r>
            <w:r w:rsidRPr="00846E0B">
              <w:rPr>
                <w:b/>
                <w:sz w:val="22"/>
                <w:szCs w:val="22"/>
                <w:highlight w:val="green"/>
              </w:rPr>
              <w:t>irodalom</w:t>
            </w:r>
            <w:r w:rsidRPr="00846E0B">
              <w:rPr>
                <w:b/>
                <w:sz w:val="22"/>
                <w:szCs w:val="22"/>
              </w:rPr>
              <w:t xml:space="preserve"> </w:t>
            </w:r>
            <w:r w:rsidRPr="00846E0B">
              <w:rPr>
                <w:sz w:val="22"/>
                <w:szCs w:val="22"/>
              </w:rPr>
              <w:t>(jegyzet, tankönyv) felsorolása bibliográfiai adatokkal (szerző, cím, kiadás adatai, (esetleg oldalak), ISBN)</w:t>
            </w:r>
          </w:p>
        </w:tc>
      </w:tr>
      <w:tr w:rsidR="00846E0B" w:rsidRPr="00846E0B" w:rsidTr="001714D3">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E01233" w:rsidRPr="00E01233" w:rsidRDefault="00E01233" w:rsidP="00E01233">
            <w:pPr>
              <w:suppressAutoHyphens/>
              <w:rPr>
                <w:sz w:val="22"/>
                <w:szCs w:val="22"/>
              </w:rPr>
            </w:pPr>
            <w:proofErr w:type="spellStart"/>
            <w:r w:rsidRPr="00E01233">
              <w:rPr>
                <w:sz w:val="22"/>
                <w:szCs w:val="22"/>
              </w:rPr>
              <w:t>Interkulturelle</w:t>
            </w:r>
            <w:proofErr w:type="spellEnd"/>
            <w:r w:rsidRPr="00E01233">
              <w:rPr>
                <w:sz w:val="22"/>
                <w:szCs w:val="22"/>
              </w:rPr>
              <w:t xml:space="preserve"> </w:t>
            </w:r>
            <w:proofErr w:type="spellStart"/>
            <w:r w:rsidRPr="00E01233">
              <w:rPr>
                <w:sz w:val="22"/>
                <w:szCs w:val="22"/>
              </w:rPr>
              <w:t>Kommunikation</w:t>
            </w:r>
            <w:proofErr w:type="spellEnd"/>
            <w:r w:rsidRPr="00E01233">
              <w:rPr>
                <w:sz w:val="22"/>
                <w:szCs w:val="22"/>
              </w:rPr>
              <w:t xml:space="preserve">: </w:t>
            </w:r>
            <w:proofErr w:type="spellStart"/>
            <w:r w:rsidRPr="00E01233">
              <w:rPr>
                <w:sz w:val="22"/>
                <w:szCs w:val="22"/>
              </w:rPr>
              <w:t>Methoden</w:t>
            </w:r>
            <w:proofErr w:type="spellEnd"/>
            <w:r w:rsidRPr="00E01233">
              <w:rPr>
                <w:sz w:val="22"/>
                <w:szCs w:val="22"/>
              </w:rPr>
              <w:t xml:space="preserve">, </w:t>
            </w:r>
            <w:proofErr w:type="spellStart"/>
            <w:r w:rsidRPr="00E01233">
              <w:rPr>
                <w:sz w:val="22"/>
                <w:szCs w:val="22"/>
              </w:rPr>
              <w:t>Modelle</w:t>
            </w:r>
            <w:proofErr w:type="spellEnd"/>
            <w:r w:rsidRPr="00E01233">
              <w:rPr>
                <w:sz w:val="22"/>
                <w:szCs w:val="22"/>
              </w:rPr>
              <w:t xml:space="preserve">, </w:t>
            </w:r>
            <w:proofErr w:type="spellStart"/>
            <w:r w:rsidRPr="00E01233">
              <w:rPr>
                <w:sz w:val="22"/>
                <w:szCs w:val="22"/>
              </w:rPr>
              <w:t>Beispiele</w:t>
            </w:r>
            <w:proofErr w:type="spellEnd"/>
            <w:r w:rsidRPr="00E01233">
              <w:rPr>
                <w:sz w:val="22"/>
                <w:szCs w:val="22"/>
              </w:rPr>
              <w:t xml:space="preserve"> / </w:t>
            </w:r>
            <w:proofErr w:type="spellStart"/>
            <w:r w:rsidRPr="00E01233">
              <w:rPr>
                <w:sz w:val="22"/>
                <w:szCs w:val="22"/>
              </w:rPr>
              <w:t>Hrsg</w:t>
            </w:r>
            <w:proofErr w:type="spellEnd"/>
            <w:r w:rsidRPr="00E01233">
              <w:rPr>
                <w:sz w:val="22"/>
                <w:szCs w:val="22"/>
              </w:rPr>
              <w:t xml:space="preserve">. </w:t>
            </w:r>
            <w:proofErr w:type="spellStart"/>
            <w:r w:rsidRPr="00E01233">
              <w:rPr>
                <w:sz w:val="22"/>
                <w:szCs w:val="22"/>
              </w:rPr>
              <w:t>Dagmar</w:t>
            </w:r>
            <w:proofErr w:type="spellEnd"/>
            <w:r w:rsidRPr="00E01233">
              <w:rPr>
                <w:sz w:val="22"/>
                <w:szCs w:val="22"/>
              </w:rPr>
              <w:t xml:space="preserve"> </w:t>
            </w:r>
            <w:proofErr w:type="spellStart"/>
            <w:r w:rsidRPr="00E01233">
              <w:rPr>
                <w:sz w:val="22"/>
                <w:szCs w:val="22"/>
              </w:rPr>
              <w:t>Kumbier</w:t>
            </w:r>
            <w:proofErr w:type="spellEnd"/>
            <w:r w:rsidRPr="00E01233">
              <w:rPr>
                <w:sz w:val="22"/>
                <w:szCs w:val="22"/>
              </w:rPr>
              <w:t xml:space="preserve">, </w:t>
            </w:r>
            <w:proofErr w:type="spellStart"/>
            <w:r w:rsidRPr="00E01233">
              <w:rPr>
                <w:sz w:val="22"/>
                <w:szCs w:val="22"/>
              </w:rPr>
              <w:t>Friedemann</w:t>
            </w:r>
            <w:proofErr w:type="spellEnd"/>
            <w:r w:rsidRPr="00E01233">
              <w:rPr>
                <w:sz w:val="22"/>
                <w:szCs w:val="22"/>
              </w:rPr>
              <w:t xml:space="preserve"> </w:t>
            </w:r>
            <w:proofErr w:type="spellStart"/>
            <w:r w:rsidRPr="00E01233">
              <w:rPr>
                <w:sz w:val="22"/>
                <w:szCs w:val="22"/>
              </w:rPr>
              <w:t>Schulz</w:t>
            </w:r>
            <w:proofErr w:type="spellEnd"/>
            <w:r w:rsidRPr="00E01233">
              <w:rPr>
                <w:sz w:val="22"/>
                <w:szCs w:val="22"/>
              </w:rPr>
              <w:t xml:space="preserve"> von </w:t>
            </w:r>
            <w:proofErr w:type="spellStart"/>
            <w:r w:rsidRPr="00E01233">
              <w:rPr>
                <w:sz w:val="22"/>
                <w:szCs w:val="22"/>
              </w:rPr>
              <w:t>Thun</w:t>
            </w:r>
            <w:proofErr w:type="spellEnd"/>
            <w:r w:rsidRPr="00E01233">
              <w:rPr>
                <w:sz w:val="22"/>
                <w:szCs w:val="22"/>
              </w:rPr>
              <w:t xml:space="preserve">, 4. </w:t>
            </w:r>
            <w:proofErr w:type="spellStart"/>
            <w:r w:rsidRPr="00E01233">
              <w:rPr>
                <w:sz w:val="22"/>
                <w:szCs w:val="22"/>
              </w:rPr>
              <w:t>Aufl</w:t>
            </w:r>
            <w:proofErr w:type="spellEnd"/>
            <w:r w:rsidRPr="00E01233">
              <w:rPr>
                <w:sz w:val="22"/>
                <w:szCs w:val="22"/>
              </w:rPr>
              <w:t xml:space="preserve">., </w:t>
            </w:r>
            <w:proofErr w:type="spellStart"/>
            <w:r w:rsidRPr="00E01233">
              <w:rPr>
                <w:sz w:val="22"/>
                <w:szCs w:val="22"/>
              </w:rPr>
              <w:t>Reinbek</w:t>
            </w:r>
            <w:proofErr w:type="spellEnd"/>
            <w:r w:rsidRPr="00E01233">
              <w:rPr>
                <w:sz w:val="22"/>
                <w:szCs w:val="22"/>
              </w:rPr>
              <w:t xml:space="preserve"> </w:t>
            </w:r>
            <w:proofErr w:type="spellStart"/>
            <w:r w:rsidRPr="00E01233">
              <w:rPr>
                <w:sz w:val="22"/>
                <w:szCs w:val="22"/>
              </w:rPr>
              <w:t>bei</w:t>
            </w:r>
            <w:proofErr w:type="spellEnd"/>
            <w:r w:rsidRPr="00E01233">
              <w:rPr>
                <w:sz w:val="22"/>
                <w:szCs w:val="22"/>
              </w:rPr>
              <w:t xml:space="preserve"> Hamburg: </w:t>
            </w:r>
            <w:proofErr w:type="spellStart"/>
            <w:r w:rsidRPr="00E01233">
              <w:rPr>
                <w:sz w:val="22"/>
                <w:szCs w:val="22"/>
              </w:rPr>
              <w:t>Rowohlt</w:t>
            </w:r>
            <w:proofErr w:type="spellEnd"/>
            <w:r w:rsidRPr="00E01233">
              <w:rPr>
                <w:sz w:val="22"/>
                <w:szCs w:val="22"/>
              </w:rPr>
              <w:t xml:space="preserve"> </w:t>
            </w:r>
            <w:proofErr w:type="spellStart"/>
            <w:r w:rsidRPr="00E01233">
              <w:rPr>
                <w:sz w:val="22"/>
                <w:szCs w:val="22"/>
              </w:rPr>
              <w:t>Taschenbuch</w:t>
            </w:r>
            <w:proofErr w:type="spellEnd"/>
            <w:r w:rsidRPr="00E01233">
              <w:rPr>
                <w:sz w:val="22"/>
                <w:szCs w:val="22"/>
              </w:rPr>
              <w:t xml:space="preserve"> </w:t>
            </w:r>
            <w:proofErr w:type="spellStart"/>
            <w:r w:rsidRPr="00E01233">
              <w:rPr>
                <w:sz w:val="22"/>
                <w:szCs w:val="22"/>
              </w:rPr>
              <w:t>Verlag</w:t>
            </w:r>
            <w:proofErr w:type="spellEnd"/>
            <w:r w:rsidRPr="00E01233">
              <w:rPr>
                <w:sz w:val="22"/>
                <w:szCs w:val="22"/>
              </w:rPr>
              <w:t>, 2010 (</w:t>
            </w:r>
            <w:proofErr w:type="spellStart"/>
            <w:r w:rsidRPr="00E01233">
              <w:rPr>
                <w:sz w:val="22"/>
                <w:szCs w:val="22"/>
              </w:rPr>
              <w:t>RoRoRo</w:t>
            </w:r>
            <w:proofErr w:type="spellEnd"/>
            <w:r w:rsidRPr="00E01233">
              <w:rPr>
                <w:sz w:val="22"/>
                <w:szCs w:val="22"/>
              </w:rPr>
              <w:t xml:space="preserve">; 62096 </w:t>
            </w:r>
            <w:proofErr w:type="spellStart"/>
            <w:r w:rsidRPr="00E01233">
              <w:rPr>
                <w:sz w:val="22"/>
                <w:szCs w:val="22"/>
              </w:rPr>
              <w:t>Miteinander</w:t>
            </w:r>
            <w:proofErr w:type="spellEnd"/>
            <w:r w:rsidRPr="00E01233">
              <w:rPr>
                <w:sz w:val="22"/>
                <w:szCs w:val="22"/>
              </w:rPr>
              <w:t xml:space="preserve"> </w:t>
            </w:r>
            <w:proofErr w:type="spellStart"/>
            <w:r w:rsidRPr="00E01233">
              <w:rPr>
                <w:sz w:val="22"/>
                <w:szCs w:val="22"/>
              </w:rPr>
              <w:t>reden</w:t>
            </w:r>
            <w:proofErr w:type="spellEnd"/>
            <w:r w:rsidRPr="00E01233">
              <w:rPr>
                <w:sz w:val="22"/>
                <w:szCs w:val="22"/>
              </w:rPr>
              <w:t>: Praxis). ISBN: 978 3 499 6209 6</w:t>
            </w:r>
          </w:p>
          <w:p w:rsidR="00E01233" w:rsidRPr="00E01233" w:rsidRDefault="00E01233" w:rsidP="00E01233">
            <w:pPr>
              <w:suppressAutoHyphens/>
              <w:rPr>
                <w:sz w:val="22"/>
                <w:szCs w:val="22"/>
              </w:rPr>
            </w:pPr>
            <w:proofErr w:type="spellStart"/>
            <w:r w:rsidRPr="00E01233">
              <w:rPr>
                <w:sz w:val="22"/>
                <w:szCs w:val="22"/>
              </w:rPr>
              <w:t>Heringer</w:t>
            </w:r>
            <w:proofErr w:type="spellEnd"/>
            <w:r w:rsidRPr="00E01233">
              <w:rPr>
                <w:sz w:val="22"/>
                <w:szCs w:val="22"/>
              </w:rPr>
              <w:t>, Hans Jürgen:</w:t>
            </w:r>
            <w:r w:rsidRPr="00E01233">
              <w:rPr>
                <w:sz w:val="22"/>
                <w:szCs w:val="22"/>
              </w:rPr>
              <w:tab/>
            </w:r>
            <w:proofErr w:type="spellStart"/>
            <w:r w:rsidRPr="00E01233">
              <w:rPr>
                <w:sz w:val="22"/>
                <w:szCs w:val="22"/>
              </w:rPr>
              <w:t>Interkulturelle</w:t>
            </w:r>
            <w:proofErr w:type="spellEnd"/>
            <w:r w:rsidRPr="00E01233">
              <w:rPr>
                <w:sz w:val="22"/>
                <w:szCs w:val="22"/>
              </w:rPr>
              <w:t xml:space="preserve"> </w:t>
            </w:r>
            <w:proofErr w:type="spellStart"/>
            <w:r w:rsidRPr="00E01233">
              <w:rPr>
                <w:sz w:val="22"/>
                <w:szCs w:val="22"/>
              </w:rPr>
              <w:t>Kommunikation</w:t>
            </w:r>
            <w:proofErr w:type="spellEnd"/>
            <w:r w:rsidRPr="00E01233">
              <w:rPr>
                <w:sz w:val="22"/>
                <w:szCs w:val="22"/>
              </w:rPr>
              <w:t xml:space="preserve">: </w:t>
            </w:r>
            <w:proofErr w:type="spellStart"/>
            <w:r w:rsidRPr="00E01233">
              <w:rPr>
                <w:sz w:val="22"/>
                <w:szCs w:val="22"/>
              </w:rPr>
              <w:t>Grundlagen</w:t>
            </w:r>
            <w:proofErr w:type="spellEnd"/>
            <w:r w:rsidRPr="00E01233">
              <w:rPr>
                <w:sz w:val="22"/>
                <w:szCs w:val="22"/>
              </w:rPr>
              <w:t xml:space="preserve"> und </w:t>
            </w:r>
            <w:proofErr w:type="spellStart"/>
            <w:r w:rsidRPr="00E01233">
              <w:rPr>
                <w:sz w:val="22"/>
                <w:szCs w:val="22"/>
              </w:rPr>
              <w:t>Konzepte</w:t>
            </w:r>
            <w:proofErr w:type="spellEnd"/>
            <w:r w:rsidRPr="00E01233">
              <w:rPr>
                <w:sz w:val="22"/>
                <w:szCs w:val="22"/>
              </w:rPr>
              <w:t xml:space="preserve">, 2. </w:t>
            </w:r>
            <w:proofErr w:type="spellStart"/>
            <w:r w:rsidRPr="00E01233">
              <w:rPr>
                <w:sz w:val="22"/>
                <w:szCs w:val="22"/>
              </w:rPr>
              <w:t>durchges</w:t>
            </w:r>
            <w:proofErr w:type="spellEnd"/>
            <w:r w:rsidRPr="00E01233">
              <w:rPr>
                <w:sz w:val="22"/>
                <w:szCs w:val="22"/>
              </w:rPr>
              <w:t xml:space="preserve">. </w:t>
            </w:r>
            <w:proofErr w:type="spellStart"/>
            <w:r w:rsidRPr="00E01233">
              <w:rPr>
                <w:sz w:val="22"/>
                <w:szCs w:val="22"/>
              </w:rPr>
              <w:t>Aufl</w:t>
            </w:r>
            <w:proofErr w:type="spellEnd"/>
            <w:r w:rsidRPr="00E01233">
              <w:rPr>
                <w:sz w:val="22"/>
                <w:szCs w:val="22"/>
              </w:rPr>
              <w:t xml:space="preserve">., Tübingen; Basel: A. </w:t>
            </w:r>
            <w:proofErr w:type="spellStart"/>
            <w:r w:rsidRPr="00E01233">
              <w:rPr>
                <w:sz w:val="22"/>
                <w:szCs w:val="22"/>
              </w:rPr>
              <w:t>Francke</w:t>
            </w:r>
            <w:proofErr w:type="spellEnd"/>
            <w:r w:rsidRPr="00E01233">
              <w:rPr>
                <w:sz w:val="22"/>
                <w:szCs w:val="22"/>
              </w:rPr>
              <w:t xml:space="preserve">, 2007 (UTB </w:t>
            </w:r>
            <w:proofErr w:type="spellStart"/>
            <w:r w:rsidRPr="00E01233">
              <w:rPr>
                <w:sz w:val="22"/>
                <w:szCs w:val="22"/>
              </w:rPr>
              <w:t>Sprachwissenschaften</w:t>
            </w:r>
            <w:proofErr w:type="spellEnd"/>
            <w:r w:rsidRPr="00E01233">
              <w:rPr>
                <w:sz w:val="22"/>
                <w:szCs w:val="22"/>
              </w:rPr>
              <w:t>; 2550). ISBN: 978 3 7720 8230 6</w:t>
            </w:r>
          </w:p>
          <w:p w:rsidR="00E01233" w:rsidRPr="00E01233" w:rsidRDefault="00E01233" w:rsidP="00E01233">
            <w:pPr>
              <w:suppressAutoHyphens/>
              <w:rPr>
                <w:sz w:val="22"/>
                <w:szCs w:val="22"/>
              </w:rPr>
            </w:pPr>
            <w:proofErr w:type="spellStart"/>
            <w:r w:rsidRPr="00E01233">
              <w:rPr>
                <w:sz w:val="22"/>
                <w:szCs w:val="22"/>
              </w:rPr>
              <w:t>Erll</w:t>
            </w:r>
            <w:proofErr w:type="spellEnd"/>
            <w:r w:rsidRPr="00E01233">
              <w:rPr>
                <w:sz w:val="22"/>
                <w:szCs w:val="22"/>
              </w:rPr>
              <w:t xml:space="preserve">, </w:t>
            </w:r>
            <w:proofErr w:type="spellStart"/>
            <w:r w:rsidRPr="00E01233">
              <w:rPr>
                <w:sz w:val="22"/>
                <w:szCs w:val="22"/>
              </w:rPr>
              <w:t>Astrid</w:t>
            </w:r>
            <w:proofErr w:type="spellEnd"/>
            <w:r w:rsidRPr="00E01233">
              <w:rPr>
                <w:sz w:val="22"/>
                <w:szCs w:val="22"/>
              </w:rPr>
              <w:t>:</w:t>
            </w:r>
            <w:r w:rsidRPr="00E01233">
              <w:rPr>
                <w:sz w:val="22"/>
                <w:szCs w:val="22"/>
              </w:rPr>
              <w:tab/>
            </w:r>
            <w:proofErr w:type="spellStart"/>
            <w:r w:rsidRPr="00E01233">
              <w:rPr>
                <w:sz w:val="22"/>
                <w:szCs w:val="22"/>
              </w:rPr>
              <w:t>Interkulturelle</w:t>
            </w:r>
            <w:proofErr w:type="spellEnd"/>
            <w:r w:rsidRPr="00E01233">
              <w:rPr>
                <w:sz w:val="22"/>
                <w:szCs w:val="22"/>
              </w:rPr>
              <w:t xml:space="preserve"> </w:t>
            </w:r>
            <w:proofErr w:type="spellStart"/>
            <w:r w:rsidRPr="00E01233">
              <w:rPr>
                <w:sz w:val="22"/>
                <w:szCs w:val="22"/>
              </w:rPr>
              <w:t>Kompetenzen</w:t>
            </w:r>
            <w:proofErr w:type="spellEnd"/>
            <w:r w:rsidRPr="00E01233">
              <w:rPr>
                <w:sz w:val="22"/>
                <w:szCs w:val="22"/>
              </w:rPr>
              <w:t xml:space="preserve">: </w:t>
            </w:r>
            <w:proofErr w:type="spellStart"/>
            <w:r w:rsidRPr="00E01233">
              <w:rPr>
                <w:sz w:val="22"/>
                <w:szCs w:val="22"/>
              </w:rPr>
              <w:t>Erfolgreich</w:t>
            </w:r>
            <w:proofErr w:type="spellEnd"/>
            <w:r w:rsidRPr="00E01233">
              <w:rPr>
                <w:sz w:val="22"/>
                <w:szCs w:val="22"/>
              </w:rPr>
              <w:t xml:space="preserve"> </w:t>
            </w:r>
            <w:proofErr w:type="spellStart"/>
            <w:r w:rsidRPr="00E01233">
              <w:rPr>
                <w:sz w:val="22"/>
                <w:szCs w:val="22"/>
              </w:rPr>
              <w:t>kommunizieren</w:t>
            </w:r>
            <w:proofErr w:type="spellEnd"/>
            <w:r w:rsidRPr="00E01233">
              <w:rPr>
                <w:sz w:val="22"/>
                <w:szCs w:val="22"/>
              </w:rPr>
              <w:t xml:space="preserve"> </w:t>
            </w:r>
            <w:proofErr w:type="spellStart"/>
            <w:r w:rsidRPr="00E01233">
              <w:rPr>
                <w:sz w:val="22"/>
                <w:szCs w:val="22"/>
              </w:rPr>
              <w:t>zwischen</w:t>
            </w:r>
            <w:proofErr w:type="spellEnd"/>
            <w:r w:rsidRPr="00E01233">
              <w:rPr>
                <w:sz w:val="22"/>
                <w:szCs w:val="22"/>
              </w:rPr>
              <w:t xml:space="preserve"> den </w:t>
            </w:r>
            <w:proofErr w:type="spellStart"/>
            <w:r w:rsidRPr="00E01233">
              <w:rPr>
                <w:sz w:val="22"/>
                <w:szCs w:val="22"/>
              </w:rPr>
              <w:t>Kulturen</w:t>
            </w:r>
            <w:proofErr w:type="spellEnd"/>
            <w:r w:rsidRPr="00E01233">
              <w:rPr>
                <w:sz w:val="22"/>
                <w:szCs w:val="22"/>
              </w:rPr>
              <w:t xml:space="preserve">, Stuttgart: </w:t>
            </w:r>
            <w:proofErr w:type="spellStart"/>
            <w:r w:rsidRPr="00E01233">
              <w:rPr>
                <w:sz w:val="22"/>
                <w:szCs w:val="22"/>
              </w:rPr>
              <w:t>Klett</w:t>
            </w:r>
            <w:proofErr w:type="spellEnd"/>
            <w:r w:rsidRPr="00E01233">
              <w:rPr>
                <w:sz w:val="22"/>
                <w:szCs w:val="22"/>
              </w:rPr>
              <w:t>, 2007 (</w:t>
            </w:r>
            <w:proofErr w:type="spellStart"/>
            <w:r w:rsidRPr="00E01233">
              <w:rPr>
                <w:sz w:val="22"/>
                <w:szCs w:val="22"/>
              </w:rPr>
              <w:t>Uni-Wissen</w:t>
            </w:r>
            <w:proofErr w:type="spellEnd"/>
            <w:r w:rsidRPr="00E01233">
              <w:rPr>
                <w:sz w:val="22"/>
                <w:szCs w:val="22"/>
              </w:rPr>
              <w:t xml:space="preserve">. </w:t>
            </w:r>
            <w:proofErr w:type="spellStart"/>
            <w:r w:rsidRPr="00E01233">
              <w:rPr>
                <w:sz w:val="22"/>
                <w:szCs w:val="22"/>
              </w:rPr>
              <w:t>Kernkompetenzen</w:t>
            </w:r>
            <w:proofErr w:type="spellEnd"/>
            <w:r w:rsidRPr="00E01233">
              <w:rPr>
                <w:sz w:val="22"/>
                <w:szCs w:val="22"/>
              </w:rPr>
              <w:t>). ISBN: 978-3-12-940005-0</w:t>
            </w:r>
          </w:p>
          <w:p w:rsidR="00E01233" w:rsidRPr="00E01233" w:rsidRDefault="00E01233" w:rsidP="00E01233">
            <w:pPr>
              <w:suppressAutoHyphens/>
              <w:rPr>
                <w:sz w:val="22"/>
                <w:szCs w:val="22"/>
              </w:rPr>
            </w:pPr>
            <w:proofErr w:type="spellStart"/>
            <w:r w:rsidRPr="00E01233">
              <w:rPr>
                <w:sz w:val="22"/>
                <w:szCs w:val="22"/>
              </w:rPr>
              <w:t>Handbuch</w:t>
            </w:r>
            <w:proofErr w:type="spellEnd"/>
            <w:r w:rsidRPr="00E01233">
              <w:rPr>
                <w:sz w:val="22"/>
                <w:szCs w:val="22"/>
              </w:rPr>
              <w:t xml:space="preserve"> </w:t>
            </w:r>
            <w:proofErr w:type="spellStart"/>
            <w:r w:rsidRPr="00E01233">
              <w:rPr>
                <w:sz w:val="22"/>
                <w:szCs w:val="22"/>
              </w:rPr>
              <w:t>interkulturelle</w:t>
            </w:r>
            <w:proofErr w:type="spellEnd"/>
            <w:r w:rsidRPr="00E01233">
              <w:rPr>
                <w:sz w:val="22"/>
                <w:szCs w:val="22"/>
              </w:rPr>
              <w:t xml:space="preserve"> </w:t>
            </w:r>
            <w:proofErr w:type="spellStart"/>
            <w:r w:rsidRPr="00E01233">
              <w:rPr>
                <w:sz w:val="22"/>
                <w:szCs w:val="22"/>
              </w:rPr>
              <w:t>Kommunikation</w:t>
            </w:r>
            <w:proofErr w:type="spellEnd"/>
            <w:r w:rsidRPr="00E01233">
              <w:rPr>
                <w:sz w:val="22"/>
                <w:szCs w:val="22"/>
              </w:rPr>
              <w:t xml:space="preserve"> und </w:t>
            </w:r>
            <w:proofErr w:type="spellStart"/>
            <w:r w:rsidRPr="00E01233">
              <w:rPr>
                <w:sz w:val="22"/>
                <w:szCs w:val="22"/>
              </w:rPr>
              <w:t>Kompetenz</w:t>
            </w:r>
            <w:proofErr w:type="spellEnd"/>
            <w:r w:rsidRPr="00E01233">
              <w:rPr>
                <w:sz w:val="22"/>
                <w:szCs w:val="22"/>
              </w:rPr>
              <w:t xml:space="preserve">: </w:t>
            </w:r>
            <w:proofErr w:type="spellStart"/>
            <w:r w:rsidRPr="00E01233">
              <w:rPr>
                <w:sz w:val="22"/>
                <w:szCs w:val="22"/>
              </w:rPr>
              <w:t>Grundbegriffe</w:t>
            </w:r>
            <w:proofErr w:type="spellEnd"/>
            <w:r w:rsidRPr="00E01233">
              <w:rPr>
                <w:sz w:val="22"/>
                <w:szCs w:val="22"/>
              </w:rPr>
              <w:t xml:space="preserve">, </w:t>
            </w:r>
            <w:proofErr w:type="spellStart"/>
            <w:r w:rsidRPr="00E01233">
              <w:rPr>
                <w:sz w:val="22"/>
                <w:szCs w:val="22"/>
              </w:rPr>
              <w:t>Theorien</w:t>
            </w:r>
            <w:proofErr w:type="spellEnd"/>
            <w:r w:rsidRPr="00E01233">
              <w:rPr>
                <w:sz w:val="22"/>
                <w:szCs w:val="22"/>
              </w:rPr>
              <w:t xml:space="preserve">, </w:t>
            </w:r>
            <w:proofErr w:type="spellStart"/>
            <w:r w:rsidRPr="00E01233">
              <w:rPr>
                <w:sz w:val="22"/>
                <w:szCs w:val="22"/>
              </w:rPr>
              <w:t>Anwendungsfelder</w:t>
            </w:r>
            <w:proofErr w:type="spellEnd"/>
            <w:r w:rsidRPr="00E01233">
              <w:rPr>
                <w:sz w:val="22"/>
                <w:szCs w:val="22"/>
              </w:rPr>
              <w:t xml:space="preserve"> / </w:t>
            </w:r>
            <w:proofErr w:type="spellStart"/>
            <w:r w:rsidRPr="00E01233">
              <w:rPr>
                <w:sz w:val="22"/>
                <w:szCs w:val="22"/>
              </w:rPr>
              <w:t>herausgegeben</w:t>
            </w:r>
            <w:proofErr w:type="spellEnd"/>
            <w:r w:rsidRPr="00E01233">
              <w:rPr>
                <w:sz w:val="22"/>
                <w:szCs w:val="22"/>
              </w:rPr>
              <w:t xml:space="preserve"> von Jürgen Straub, </w:t>
            </w:r>
            <w:proofErr w:type="spellStart"/>
            <w:r w:rsidRPr="00E01233">
              <w:rPr>
                <w:sz w:val="22"/>
                <w:szCs w:val="22"/>
              </w:rPr>
              <w:t>Arne</w:t>
            </w:r>
            <w:proofErr w:type="spellEnd"/>
            <w:r w:rsidRPr="00E01233">
              <w:rPr>
                <w:sz w:val="22"/>
                <w:szCs w:val="22"/>
              </w:rPr>
              <w:t xml:space="preserve"> </w:t>
            </w:r>
            <w:proofErr w:type="spellStart"/>
            <w:r w:rsidRPr="00E01233">
              <w:rPr>
                <w:sz w:val="22"/>
                <w:szCs w:val="22"/>
              </w:rPr>
              <w:t>Weidemann</w:t>
            </w:r>
            <w:proofErr w:type="spellEnd"/>
            <w:r w:rsidRPr="00E01233">
              <w:rPr>
                <w:sz w:val="22"/>
                <w:szCs w:val="22"/>
              </w:rPr>
              <w:t xml:space="preserve"> und </w:t>
            </w:r>
            <w:proofErr w:type="spellStart"/>
            <w:r w:rsidRPr="00E01233">
              <w:rPr>
                <w:sz w:val="22"/>
                <w:szCs w:val="22"/>
              </w:rPr>
              <w:t>Doris</w:t>
            </w:r>
            <w:proofErr w:type="spellEnd"/>
            <w:r w:rsidRPr="00E01233">
              <w:rPr>
                <w:sz w:val="22"/>
                <w:szCs w:val="22"/>
              </w:rPr>
              <w:t xml:space="preserve"> </w:t>
            </w:r>
            <w:proofErr w:type="spellStart"/>
            <w:r w:rsidRPr="00E01233">
              <w:rPr>
                <w:sz w:val="22"/>
                <w:szCs w:val="22"/>
              </w:rPr>
              <w:t>Weidemann</w:t>
            </w:r>
            <w:proofErr w:type="spellEnd"/>
            <w:r w:rsidRPr="00E01233">
              <w:rPr>
                <w:sz w:val="22"/>
                <w:szCs w:val="22"/>
              </w:rPr>
              <w:t xml:space="preserve">, Stuttgart; </w:t>
            </w:r>
            <w:proofErr w:type="spellStart"/>
            <w:r w:rsidRPr="00E01233">
              <w:rPr>
                <w:sz w:val="22"/>
                <w:szCs w:val="22"/>
              </w:rPr>
              <w:t>Weimar</w:t>
            </w:r>
            <w:proofErr w:type="spellEnd"/>
            <w:r w:rsidRPr="00E01233">
              <w:rPr>
                <w:sz w:val="22"/>
                <w:szCs w:val="22"/>
              </w:rPr>
              <w:t xml:space="preserve">: </w:t>
            </w:r>
            <w:proofErr w:type="spellStart"/>
            <w:r w:rsidRPr="00E01233">
              <w:rPr>
                <w:sz w:val="22"/>
                <w:szCs w:val="22"/>
              </w:rPr>
              <w:t>Metzler</w:t>
            </w:r>
            <w:proofErr w:type="spellEnd"/>
            <w:r w:rsidRPr="00E01233">
              <w:rPr>
                <w:sz w:val="22"/>
                <w:szCs w:val="22"/>
              </w:rPr>
              <w:t>, 2007. ISBN: 978 3 476 02189 2</w:t>
            </w:r>
          </w:p>
          <w:p w:rsidR="007155F5" w:rsidRPr="00846E0B" w:rsidRDefault="00E01233" w:rsidP="00E01233">
            <w:pPr>
              <w:suppressAutoHyphens/>
              <w:ind w:left="34"/>
              <w:rPr>
                <w:sz w:val="22"/>
                <w:szCs w:val="22"/>
              </w:rPr>
            </w:pPr>
            <w:r w:rsidRPr="00E01233">
              <w:rPr>
                <w:sz w:val="22"/>
                <w:szCs w:val="22"/>
              </w:rPr>
              <w:t xml:space="preserve">Karl-Heinz Kohl: </w:t>
            </w:r>
            <w:proofErr w:type="spellStart"/>
            <w:r w:rsidRPr="00E01233">
              <w:rPr>
                <w:sz w:val="22"/>
                <w:szCs w:val="22"/>
              </w:rPr>
              <w:t>Ethnologie</w:t>
            </w:r>
            <w:proofErr w:type="spellEnd"/>
            <w:r w:rsidRPr="00E01233">
              <w:rPr>
                <w:sz w:val="22"/>
                <w:szCs w:val="22"/>
              </w:rPr>
              <w:t xml:space="preserve"> – die </w:t>
            </w:r>
            <w:proofErr w:type="spellStart"/>
            <w:r w:rsidRPr="00E01233">
              <w:rPr>
                <w:sz w:val="22"/>
                <w:szCs w:val="22"/>
              </w:rPr>
              <w:t>Wissenschaft</w:t>
            </w:r>
            <w:proofErr w:type="spellEnd"/>
            <w:r w:rsidRPr="00E01233">
              <w:rPr>
                <w:sz w:val="22"/>
                <w:szCs w:val="22"/>
              </w:rPr>
              <w:t xml:space="preserve"> </w:t>
            </w:r>
            <w:proofErr w:type="spellStart"/>
            <w:r w:rsidRPr="00E01233">
              <w:rPr>
                <w:sz w:val="22"/>
                <w:szCs w:val="22"/>
              </w:rPr>
              <w:t>vom</w:t>
            </w:r>
            <w:proofErr w:type="spellEnd"/>
            <w:r w:rsidRPr="00E01233">
              <w:rPr>
                <w:sz w:val="22"/>
                <w:szCs w:val="22"/>
              </w:rPr>
              <w:t xml:space="preserve"> </w:t>
            </w:r>
            <w:proofErr w:type="spellStart"/>
            <w:r w:rsidRPr="00E01233">
              <w:rPr>
                <w:sz w:val="22"/>
                <w:szCs w:val="22"/>
              </w:rPr>
              <w:t>kulturell</w:t>
            </w:r>
            <w:proofErr w:type="spellEnd"/>
            <w:r w:rsidRPr="00E01233">
              <w:rPr>
                <w:sz w:val="22"/>
                <w:szCs w:val="22"/>
              </w:rPr>
              <w:t xml:space="preserve"> </w:t>
            </w:r>
            <w:proofErr w:type="spellStart"/>
            <w:r w:rsidRPr="00E01233">
              <w:rPr>
                <w:sz w:val="22"/>
                <w:szCs w:val="22"/>
              </w:rPr>
              <w:t>Fremden</w:t>
            </w:r>
            <w:proofErr w:type="spellEnd"/>
            <w:r w:rsidRPr="00E01233">
              <w:rPr>
                <w:sz w:val="22"/>
                <w:szCs w:val="22"/>
              </w:rPr>
              <w:t xml:space="preserve">. </w:t>
            </w:r>
            <w:proofErr w:type="spellStart"/>
            <w:r w:rsidRPr="00E01233">
              <w:rPr>
                <w:sz w:val="22"/>
                <w:szCs w:val="22"/>
              </w:rPr>
              <w:t>Eine</w:t>
            </w:r>
            <w:proofErr w:type="spellEnd"/>
            <w:r w:rsidRPr="00E01233">
              <w:rPr>
                <w:sz w:val="22"/>
                <w:szCs w:val="22"/>
              </w:rPr>
              <w:t xml:space="preserve"> </w:t>
            </w:r>
            <w:proofErr w:type="spellStart"/>
            <w:r w:rsidRPr="00E01233">
              <w:rPr>
                <w:sz w:val="22"/>
                <w:szCs w:val="22"/>
              </w:rPr>
              <w:t>Einführung</w:t>
            </w:r>
            <w:proofErr w:type="spellEnd"/>
            <w:r w:rsidRPr="00E01233">
              <w:rPr>
                <w:sz w:val="22"/>
                <w:szCs w:val="22"/>
              </w:rPr>
              <w:t xml:space="preserve">. München: C.H. Beck, 32012: </w:t>
            </w:r>
            <w:proofErr w:type="spellStart"/>
            <w:r w:rsidRPr="00E01233">
              <w:rPr>
                <w:sz w:val="22"/>
                <w:szCs w:val="22"/>
              </w:rPr>
              <w:t>Kapitel</w:t>
            </w:r>
            <w:proofErr w:type="spellEnd"/>
            <w:r w:rsidRPr="00E01233">
              <w:rPr>
                <w:sz w:val="22"/>
                <w:szCs w:val="22"/>
              </w:rPr>
              <w:t xml:space="preserve"> VI. </w:t>
            </w:r>
            <w:proofErr w:type="spellStart"/>
            <w:r w:rsidRPr="00E01233">
              <w:rPr>
                <w:sz w:val="22"/>
                <w:szCs w:val="22"/>
              </w:rPr>
              <w:t>Ethnologische</w:t>
            </w:r>
            <w:proofErr w:type="spellEnd"/>
            <w:r w:rsidRPr="00E01233">
              <w:rPr>
                <w:sz w:val="22"/>
                <w:szCs w:val="22"/>
              </w:rPr>
              <w:t xml:space="preserve"> </w:t>
            </w:r>
            <w:proofErr w:type="spellStart"/>
            <w:r w:rsidRPr="00E01233">
              <w:rPr>
                <w:sz w:val="22"/>
                <w:szCs w:val="22"/>
              </w:rPr>
              <w:t>Theorien</w:t>
            </w:r>
            <w:proofErr w:type="spellEnd"/>
            <w:r w:rsidRPr="00E01233">
              <w:rPr>
                <w:sz w:val="22"/>
                <w:szCs w:val="22"/>
              </w:rPr>
              <w:t>, S. 128-166. ISBN: 978-3-406-46835-3</w:t>
            </w:r>
          </w:p>
        </w:tc>
      </w:tr>
    </w:tbl>
    <w:p w:rsidR="00C27456" w:rsidRDefault="00863433"/>
    <w:sectPr w:rsidR="00C27456" w:rsidSect="003F7A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33" w:rsidRDefault="00863433" w:rsidP="00846E0B">
      <w:r>
        <w:separator/>
      </w:r>
    </w:p>
  </w:endnote>
  <w:endnote w:type="continuationSeparator" w:id="0">
    <w:p w:rsidR="00863433" w:rsidRDefault="00863433" w:rsidP="00846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33" w:rsidRDefault="00863433" w:rsidP="00846E0B">
      <w:r>
        <w:separator/>
      </w:r>
    </w:p>
  </w:footnote>
  <w:footnote w:type="continuationSeparator" w:id="0">
    <w:p w:rsidR="00863433" w:rsidRDefault="00863433" w:rsidP="00846E0B">
      <w:r>
        <w:continuationSeparator/>
      </w:r>
    </w:p>
  </w:footnote>
  <w:footnote w:id="1">
    <w:p w:rsidR="00846E0B" w:rsidRPr="00A5216A" w:rsidRDefault="00846E0B" w:rsidP="00846E0B">
      <w:pPr>
        <w:pStyle w:val="Lbjegyzetszveg"/>
        <w:ind w:left="142" w:hanging="142"/>
        <w:rPr>
          <w:sz w:val="4"/>
          <w:szCs w:val="4"/>
        </w:rPr>
      </w:pPr>
    </w:p>
    <w:p w:rsidR="00846E0B" w:rsidRPr="0003723C" w:rsidRDefault="00846E0B" w:rsidP="00846E0B">
      <w:pPr>
        <w:pStyle w:val="Lbjegyzetszveg"/>
        <w:ind w:left="142"/>
      </w:pPr>
      <w:r w:rsidRPr="00CD5314">
        <w:rPr>
          <w:rStyle w:val="Lbjegyzet-hivatkozs"/>
          <w:b/>
        </w:rPr>
        <w:footnoteRef/>
      </w:r>
      <w:r w:rsidRPr="0003723C">
        <w:t xml:space="preserve"> </w:t>
      </w:r>
      <w:proofErr w:type="spellStart"/>
      <w:r w:rsidRPr="00576C00">
        <w:rPr>
          <w:b/>
        </w:rPr>
        <w:t>N</w:t>
      </w:r>
      <w:r w:rsidRPr="0003723C">
        <w:rPr>
          <w:b/>
          <w:bCs/>
        </w:rPr>
        <w:t>ftv</w:t>
      </w:r>
      <w:proofErr w:type="spellEnd"/>
      <w:r w:rsidRPr="0003723C">
        <w:rPr>
          <w:b/>
          <w:bCs/>
        </w:rPr>
        <w:t xml:space="preserve">. 108. § </w:t>
      </w:r>
      <w:r w:rsidRPr="0003723C">
        <w:t>37.</w:t>
      </w:r>
      <w:r w:rsidRPr="0003723C">
        <w:rPr>
          <w:i/>
        </w:rPr>
        <w:t xml:space="preserve"> tanóra</w:t>
      </w:r>
      <w:r w:rsidRPr="0003723C">
        <w:t xml:space="preserve">: a tantervben meghatározott tanulmányi követelmények teljesítéséhez az oktató személyes közreműködését igénylő foglalkozás (előadás, szeminárium, gyakorlat, konzultáció), amelynek időtartama legalább negyvenöt, legfeljebb hatvan perc. </w:t>
      </w:r>
    </w:p>
  </w:footnote>
  <w:footnote w:id="2">
    <w:p w:rsidR="00846E0B" w:rsidRPr="00CD5314" w:rsidRDefault="00846E0B" w:rsidP="00846E0B">
      <w:pPr>
        <w:pStyle w:val="Lbjegyzetszveg"/>
        <w:ind w:left="142"/>
      </w:pPr>
      <w:r w:rsidRPr="00CD5314">
        <w:rPr>
          <w:rStyle w:val="Lbjegyzet-hivatkozs"/>
          <w:b/>
        </w:rPr>
        <w:footnoteRef/>
      </w:r>
      <w:r w:rsidRPr="00CD5314">
        <w:t xml:space="preserve"> </w:t>
      </w:r>
      <w:proofErr w:type="gramStart"/>
      <w:r w:rsidRPr="00CD5314">
        <w:t>pl.</w:t>
      </w:r>
      <w:proofErr w:type="gramEnd"/>
      <w:r w:rsidRPr="00CD5314">
        <w:t xml:space="preserve"> folyamatos számonkérés, évközi beszámoló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44AA"/>
    <w:multiLevelType w:val="hybridMultilevel"/>
    <w:tmpl w:val="016AA21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nsid w:val="67794BFE"/>
    <w:multiLevelType w:val="hybridMultilevel"/>
    <w:tmpl w:val="2CB45C7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nsid w:val="71B877D9"/>
    <w:multiLevelType w:val="hybridMultilevel"/>
    <w:tmpl w:val="1944A2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846E0B"/>
    <w:rsid w:val="00021F2E"/>
    <w:rsid w:val="00164345"/>
    <w:rsid w:val="001714D3"/>
    <w:rsid w:val="00270141"/>
    <w:rsid w:val="003326A7"/>
    <w:rsid w:val="003F7A5B"/>
    <w:rsid w:val="00492A9C"/>
    <w:rsid w:val="004D1548"/>
    <w:rsid w:val="005C7EBB"/>
    <w:rsid w:val="006B1570"/>
    <w:rsid w:val="007155F5"/>
    <w:rsid w:val="00846E0B"/>
    <w:rsid w:val="00863433"/>
    <w:rsid w:val="00873E14"/>
    <w:rsid w:val="00983DD2"/>
    <w:rsid w:val="009C0E71"/>
    <w:rsid w:val="00B2067F"/>
    <w:rsid w:val="00C113BC"/>
    <w:rsid w:val="00D14A2E"/>
    <w:rsid w:val="00E012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6E0B"/>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846E0B"/>
    <w:rPr>
      <w:vertAlign w:val="superscript"/>
    </w:rPr>
  </w:style>
  <w:style w:type="paragraph" w:styleId="Lbjegyzetszveg">
    <w:name w:val="footnote text"/>
    <w:basedOn w:val="Norml"/>
    <w:link w:val="LbjegyzetszvegChar"/>
    <w:semiHidden/>
    <w:rsid w:val="00846E0B"/>
  </w:style>
  <w:style w:type="character" w:customStyle="1" w:styleId="LbjegyzetszvegChar">
    <w:name w:val="Lábjegyzetszöveg Char"/>
    <w:basedOn w:val="Bekezdsalapbettpusa"/>
    <w:link w:val="Lbjegyzetszveg"/>
    <w:semiHidden/>
    <w:rsid w:val="00846E0B"/>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846E0B"/>
    <w:pPr>
      <w:spacing w:after="160" w:line="240" w:lineRule="exact"/>
    </w:pPr>
    <w:rPr>
      <w:rFonts w:ascii="Tahoma" w:hAnsi="Tahoma" w:cs="Tahoma"/>
      <w:lang w:val="en-US" w:eastAsia="en-US"/>
    </w:rPr>
  </w:style>
  <w:style w:type="paragraph" w:styleId="Listaszerbekezds">
    <w:name w:val="List Paragraph"/>
    <w:basedOn w:val="Norml"/>
    <w:uiPriority w:val="34"/>
    <w:qFormat/>
    <w:rsid w:val="00B20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2099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Horváth Andrea</dc:creator>
  <cp:lastModifiedBy>user</cp:lastModifiedBy>
  <cp:revision>3</cp:revision>
  <dcterms:created xsi:type="dcterms:W3CDTF">2022-02-28T12:08:00Z</dcterms:created>
  <dcterms:modified xsi:type="dcterms:W3CDTF">2022-02-28T12:09:00Z</dcterms:modified>
</cp:coreProperties>
</file>