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0B" w:rsidRPr="00403737" w:rsidRDefault="00846E0B" w:rsidP="00846E0B">
      <w:pPr>
        <w:suppressAutoHyphens/>
        <w:ind w:left="142"/>
        <w:jc w:val="both"/>
        <w:rPr>
          <w:b/>
          <w:sz w:val="24"/>
          <w:szCs w:val="24"/>
        </w:rPr>
      </w:pPr>
      <w:r w:rsidRPr="00403737">
        <w:rPr>
          <w:b/>
          <w:sz w:val="24"/>
          <w:szCs w:val="24"/>
        </w:rPr>
        <w:t xml:space="preserve">I.2. Ismeretkörök/tantárgyi programok, tantárgyleírások </w:t>
      </w:r>
    </w:p>
    <w:p w:rsidR="00846E0B" w:rsidRPr="00403737" w:rsidRDefault="00846E0B" w:rsidP="00846E0B">
      <w:pPr>
        <w:suppressAutoHyphens/>
        <w:spacing w:after="60"/>
        <w:ind w:left="708"/>
        <w:jc w:val="both"/>
        <w:rPr>
          <w:i/>
          <w:sz w:val="22"/>
          <w:szCs w:val="22"/>
        </w:rPr>
      </w:pPr>
      <w:r w:rsidRPr="00403737">
        <w:rPr>
          <w:i/>
          <w:sz w:val="22"/>
          <w:szCs w:val="22"/>
        </w:rPr>
        <w:t>(a tantervi táblázatban szereplő minden tanegységről)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</w:tblGrid>
      <w:tr w:rsidR="00846E0B" w:rsidRPr="00846E0B" w:rsidTr="00474F46"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 </w:t>
            </w:r>
            <w:r w:rsidRPr="00846E0B">
              <w:rPr>
                <w:b/>
                <w:sz w:val="22"/>
                <w:szCs w:val="22"/>
              </w:rPr>
              <w:t>ismeretkör</w:t>
            </w:r>
            <w:r w:rsidRPr="00846E0B">
              <w:rPr>
                <w:sz w:val="22"/>
                <w:szCs w:val="22"/>
              </w:rPr>
              <w:t xml:space="preserve">: </w:t>
            </w:r>
            <w:r w:rsidRPr="00846E0B">
              <w:rPr>
                <w:b/>
                <w:sz w:val="22"/>
                <w:szCs w:val="22"/>
              </w:rPr>
              <w:t xml:space="preserve"> ………………….……..</w:t>
            </w:r>
            <w:r w:rsidRPr="00846E0B">
              <w:rPr>
                <w:b/>
                <w:i/>
                <w:sz w:val="22"/>
                <w:szCs w:val="22"/>
              </w:rPr>
              <w:t>…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Kredittartománya </w:t>
            </w:r>
            <w:r w:rsidRPr="00846E0B">
              <w:rPr>
                <w:i/>
                <w:sz w:val="22"/>
                <w:szCs w:val="22"/>
              </w:rPr>
              <w:t xml:space="preserve">(max. 12 kr.): </w:t>
            </w:r>
            <w:r w:rsidRPr="00846E0B">
              <w:rPr>
                <w:b/>
                <w:sz w:val="22"/>
                <w:szCs w:val="22"/>
              </w:rPr>
              <w:t>……..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Tantárgyai: 1)</w:t>
            </w:r>
            <w:r w:rsidRPr="00846E0B">
              <w:rPr>
                <w:b/>
                <w:sz w:val="22"/>
                <w:szCs w:val="22"/>
              </w:rPr>
              <w:t>………………….……..</w:t>
            </w:r>
            <w:r w:rsidRPr="00846E0B">
              <w:rPr>
                <w:b/>
                <w:i/>
                <w:sz w:val="22"/>
                <w:szCs w:val="22"/>
              </w:rPr>
              <w:t xml:space="preserve">…, </w:t>
            </w:r>
            <w:r w:rsidRPr="00846E0B">
              <w:rPr>
                <w:sz w:val="22"/>
                <w:szCs w:val="22"/>
              </w:rPr>
              <w:t>2)</w:t>
            </w:r>
            <w:r w:rsidRPr="00846E0B">
              <w:rPr>
                <w:b/>
                <w:sz w:val="22"/>
                <w:szCs w:val="22"/>
              </w:rPr>
              <w:t>………………….……..</w:t>
            </w:r>
            <w:r w:rsidRPr="00846E0B">
              <w:rPr>
                <w:b/>
                <w:i/>
                <w:sz w:val="22"/>
                <w:szCs w:val="22"/>
              </w:rPr>
              <w:t>…,</w:t>
            </w:r>
          </w:p>
          <w:p w:rsidR="00846E0B" w:rsidRPr="00846E0B" w:rsidRDefault="00846E0B" w:rsidP="00474F46">
            <w:pPr>
              <w:suppressAutoHyphens/>
              <w:spacing w:before="60"/>
              <w:ind w:left="1026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3)</w:t>
            </w:r>
            <w:r w:rsidRPr="00846E0B">
              <w:rPr>
                <w:b/>
                <w:sz w:val="22"/>
                <w:szCs w:val="22"/>
              </w:rPr>
              <w:t>………………….………</w:t>
            </w:r>
            <w:r w:rsidRPr="00846E0B">
              <w:rPr>
                <w:b/>
                <w:i/>
                <w:sz w:val="22"/>
                <w:szCs w:val="22"/>
              </w:rPr>
              <w:t>…,  …….</w:t>
            </w:r>
          </w:p>
        </w:tc>
      </w:tr>
    </w:tbl>
    <w:p w:rsidR="00846E0B" w:rsidRPr="00846E0B" w:rsidRDefault="00846E0B" w:rsidP="00846E0B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6"/>
        <w:gridCol w:w="2232"/>
      </w:tblGrid>
      <w:tr w:rsidR="00846E0B" w:rsidRPr="00846E0B" w:rsidTr="00474F46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(1.) </w:t>
            </w:r>
            <w:r w:rsidRPr="00846E0B">
              <w:rPr>
                <w:b/>
                <w:sz w:val="22"/>
                <w:szCs w:val="22"/>
                <w:highlight w:val="green"/>
              </w:rPr>
              <w:t xml:space="preserve">Tantárgy </w:t>
            </w:r>
            <w:r w:rsidRPr="00846E0B">
              <w:rPr>
                <w:sz w:val="22"/>
                <w:szCs w:val="22"/>
                <w:highlight w:val="green"/>
              </w:rPr>
              <w:t>neve</w:t>
            </w:r>
            <w:r w:rsidRPr="00846E0B">
              <w:rPr>
                <w:sz w:val="22"/>
                <w:szCs w:val="22"/>
              </w:rPr>
              <w:t>: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="00146483" w:rsidRPr="000364C9">
              <w:rPr>
                <w:sz w:val="22"/>
                <w:szCs w:val="22"/>
              </w:rPr>
              <w:t>Germán népek és nyelvek ea.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Kreditértéke: </w:t>
            </w:r>
            <w:r w:rsidR="00146483">
              <w:rPr>
                <w:b/>
                <w:sz w:val="22"/>
                <w:szCs w:val="22"/>
              </w:rPr>
              <w:t>1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tantárgy </w:t>
            </w:r>
            <w:r w:rsidRPr="00846E0B">
              <w:rPr>
                <w:b/>
                <w:sz w:val="22"/>
                <w:szCs w:val="22"/>
              </w:rPr>
              <w:t>besorolása</w:t>
            </w:r>
            <w:r w:rsidRPr="00846E0B">
              <w:rPr>
                <w:sz w:val="22"/>
                <w:szCs w:val="22"/>
              </w:rPr>
              <w:t>:</w:t>
            </w:r>
            <w:bookmarkStart w:id="0" w:name="_GoBack"/>
            <w:bookmarkEnd w:id="0"/>
            <w:r w:rsidRPr="00846E0B">
              <w:rPr>
                <w:sz w:val="22"/>
                <w:szCs w:val="22"/>
              </w:rPr>
              <w:t xml:space="preserve"> </w:t>
            </w:r>
            <w:r w:rsidRPr="00846E0B">
              <w:rPr>
                <w:b/>
                <w:sz w:val="22"/>
                <w:szCs w:val="22"/>
              </w:rPr>
              <w:t>kötelező / választható</w:t>
            </w:r>
            <w:r w:rsidRPr="00846E0B">
              <w:rPr>
                <w:sz w:val="22"/>
                <w:szCs w:val="22"/>
              </w:rPr>
              <w:t xml:space="preserve"> </w:t>
            </w:r>
            <w:r w:rsidRPr="00846E0B">
              <w:rPr>
                <w:i/>
                <w:color w:val="2F5496"/>
              </w:rPr>
              <w:t>(a nem kívánt törlendő!)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846E0B">
              <w:rPr>
                <w:b/>
                <w:bdr w:val="dotted" w:sz="4" w:space="0" w:color="auto"/>
                <w:vertAlign w:val="superscript"/>
              </w:rPr>
              <w:t>12</w:t>
            </w:r>
            <w:r w:rsidRPr="00846E0B">
              <w:rPr>
                <w:sz w:val="22"/>
                <w:szCs w:val="22"/>
              </w:rPr>
              <w:t xml:space="preserve">: </w:t>
            </w:r>
            <w:r w:rsidRPr="00846E0B">
              <w:rPr>
                <w:b/>
                <w:sz w:val="22"/>
                <w:szCs w:val="22"/>
              </w:rPr>
              <w:t xml:space="preserve">….. </w:t>
            </w:r>
            <w:r w:rsidRPr="00846E0B">
              <w:rPr>
                <w:sz w:val="22"/>
                <w:szCs w:val="22"/>
              </w:rPr>
              <w:t>(kredit%)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  <w:highlight w:val="green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tanóra</w:t>
            </w:r>
            <w:r w:rsidRPr="00846E0B">
              <w:rPr>
                <w:rStyle w:val="Lbjegyzet-hivatkozs"/>
                <w:b/>
                <w:sz w:val="22"/>
                <w:szCs w:val="22"/>
                <w:highlight w:val="green"/>
              </w:rPr>
              <w:footnoteReference w:id="1"/>
            </w:r>
            <w:r w:rsidRPr="00846E0B">
              <w:rPr>
                <w:b/>
                <w:sz w:val="22"/>
                <w:szCs w:val="22"/>
                <w:highlight w:val="green"/>
              </w:rPr>
              <w:t xml:space="preserve"> típusa</w:t>
            </w:r>
            <w:r w:rsidRPr="00846E0B">
              <w:rPr>
                <w:sz w:val="22"/>
                <w:szCs w:val="22"/>
              </w:rPr>
              <w:t xml:space="preserve">: </w:t>
            </w:r>
            <w:r w:rsidRPr="00146483">
              <w:rPr>
                <w:sz w:val="22"/>
                <w:szCs w:val="22"/>
                <w:u w:val="single"/>
              </w:rPr>
              <w:t>ea</w:t>
            </w:r>
            <w:r w:rsidRPr="00846E0B">
              <w:rPr>
                <w:sz w:val="22"/>
                <w:szCs w:val="22"/>
              </w:rPr>
              <w:t xml:space="preserve">. / szem. / gyak. / konz. és </w:t>
            </w:r>
            <w:r w:rsidRPr="00846E0B">
              <w:rPr>
                <w:b/>
                <w:sz w:val="22"/>
                <w:szCs w:val="22"/>
                <w:highlight w:val="green"/>
              </w:rPr>
              <w:t>óraszáma</w:t>
            </w:r>
            <w:r w:rsidRPr="00846E0B">
              <w:rPr>
                <w:sz w:val="22"/>
                <w:szCs w:val="22"/>
              </w:rPr>
              <w:t xml:space="preserve">: </w:t>
            </w:r>
            <w:r w:rsidR="00146483">
              <w:rPr>
                <w:sz w:val="22"/>
                <w:szCs w:val="22"/>
              </w:rPr>
              <w:t>1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 xml:space="preserve">az adott </w:t>
            </w:r>
            <w:r w:rsidRPr="00846E0B">
              <w:rPr>
                <w:b/>
                <w:sz w:val="22"/>
                <w:szCs w:val="22"/>
              </w:rPr>
              <w:t>félévben</w:t>
            </w:r>
            <w:r w:rsidRPr="00846E0B">
              <w:rPr>
                <w:sz w:val="22"/>
                <w:szCs w:val="22"/>
              </w:rPr>
              <w:t>,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846E0B">
              <w:rPr>
                <w:b/>
                <w:i/>
                <w:sz w:val="22"/>
                <w:szCs w:val="22"/>
              </w:rPr>
              <w:t>nyelve</w:t>
            </w:r>
            <w:r w:rsidRPr="00846E0B">
              <w:rPr>
                <w:i/>
                <w:sz w:val="22"/>
                <w:szCs w:val="22"/>
              </w:rPr>
              <w:t>: …………………)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 adott ismeret átadásában alkalmazandó </w:t>
            </w:r>
            <w:r w:rsidRPr="00846E0B">
              <w:rPr>
                <w:b/>
                <w:sz w:val="22"/>
                <w:szCs w:val="22"/>
              </w:rPr>
              <w:t>további</w:t>
            </w:r>
            <w:r w:rsidRPr="00846E0B">
              <w:rPr>
                <w:sz w:val="22"/>
                <w:szCs w:val="22"/>
              </w:rPr>
              <w:t xml:space="preserve"> (</w:t>
            </w:r>
            <w:r w:rsidRPr="00846E0B">
              <w:rPr>
                <w:i/>
                <w:sz w:val="22"/>
                <w:szCs w:val="22"/>
              </w:rPr>
              <w:t>sajátos</w:t>
            </w:r>
            <w:r w:rsidRPr="00846E0B">
              <w:rPr>
                <w:sz w:val="22"/>
                <w:szCs w:val="22"/>
              </w:rPr>
              <w:t xml:space="preserve">) </w:t>
            </w:r>
            <w:r w:rsidRPr="00846E0B">
              <w:rPr>
                <w:b/>
                <w:sz w:val="22"/>
                <w:szCs w:val="22"/>
              </w:rPr>
              <w:t>módok, jellemzők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846E0B">
              <w:rPr>
                <w:sz w:val="22"/>
                <w:szCs w:val="22"/>
              </w:rPr>
              <w:t xml:space="preserve"> </w:t>
            </w:r>
            <w:r w:rsidRPr="00846E0B">
              <w:rPr>
                <w:i/>
                <w:sz w:val="21"/>
                <w:szCs w:val="21"/>
              </w:rPr>
              <w:t>(ha vannak)</w:t>
            </w:r>
            <w:r w:rsidRPr="00846E0B">
              <w:rPr>
                <w:sz w:val="22"/>
                <w:szCs w:val="22"/>
              </w:rPr>
              <w:t>: ………………………..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számonkérés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módja (</w:t>
            </w:r>
            <w:r w:rsidRPr="00146483">
              <w:rPr>
                <w:sz w:val="22"/>
                <w:szCs w:val="22"/>
                <w:u w:val="single"/>
              </w:rPr>
              <w:t>koll</w:t>
            </w:r>
            <w:r w:rsidRPr="00846E0B">
              <w:rPr>
                <w:sz w:val="22"/>
                <w:szCs w:val="22"/>
              </w:rPr>
              <w:t xml:space="preserve">. / gyj. / </w:t>
            </w:r>
            <w:r w:rsidRPr="00846E0B">
              <w:rPr>
                <w:b/>
                <w:sz w:val="22"/>
                <w:szCs w:val="22"/>
              </w:rPr>
              <w:t>egyéb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846E0B">
              <w:rPr>
                <w:b/>
                <w:sz w:val="22"/>
                <w:szCs w:val="22"/>
              </w:rPr>
              <w:t>)</w:t>
            </w:r>
            <w:r w:rsidRPr="00846E0B">
              <w:rPr>
                <w:sz w:val="22"/>
                <w:szCs w:val="22"/>
              </w:rPr>
              <w:t>: ………………..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 ismeretellenőrzésben alkalmazandó </w:t>
            </w:r>
            <w:r w:rsidRPr="00846E0B">
              <w:rPr>
                <w:b/>
                <w:sz w:val="22"/>
                <w:szCs w:val="22"/>
              </w:rPr>
              <w:t xml:space="preserve">további </w:t>
            </w: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>sajátos</w:t>
            </w:r>
            <w:r w:rsidRPr="00846E0B">
              <w:rPr>
                <w:sz w:val="22"/>
                <w:szCs w:val="22"/>
              </w:rPr>
              <w:t xml:space="preserve">) </w:t>
            </w:r>
            <w:r w:rsidRPr="00846E0B">
              <w:rPr>
                <w:b/>
                <w:sz w:val="22"/>
                <w:szCs w:val="22"/>
              </w:rPr>
              <w:t>módok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i/>
                <w:sz w:val="21"/>
                <w:szCs w:val="21"/>
              </w:rPr>
              <w:t>(ha vannak)</w:t>
            </w:r>
            <w:r w:rsidRPr="00846E0B">
              <w:rPr>
                <w:b/>
                <w:sz w:val="22"/>
                <w:szCs w:val="22"/>
              </w:rPr>
              <w:t xml:space="preserve">: </w:t>
            </w:r>
            <w:r w:rsidRPr="00846E0B">
              <w:rPr>
                <w:sz w:val="22"/>
                <w:szCs w:val="22"/>
              </w:rPr>
              <w:t>………………………..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146483">
            <w:pPr>
              <w:suppressAutoHyphens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tantárgy </w:t>
            </w:r>
            <w:r w:rsidRPr="00846E0B">
              <w:rPr>
                <w:b/>
                <w:sz w:val="22"/>
                <w:szCs w:val="22"/>
              </w:rPr>
              <w:t>tantervi helye</w:t>
            </w:r>
            <w:r w:rsidRPr="00846E0B">
              <w:rPr>
                <w:sz w:val="22"/>
                <w:szCs w:val="22"/>
              </w:rPr>
              <w:t xml:space="preserve"> (hányadik félév): </w:t>
            </w:r>
            <w:r w:rsidR="00146483">
              <w:rPr>
                <w:sz w:val="22"/>
                <w:szCs w:val="22"/>
              </w:rPr>
              <w:t>3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Előtanulmányi feltételek </w:t>
            </w:r>
            <w:r w:rsidRPr="00846E0B">
              <w:rPr>
                <w:i/>
                <w:sz w:val="22"/>
                <w:szCs w:val="22"/>
              </w:rPr>
              <w:t>(ha vannak)</w:t>
            </w:r>
            <w:r w:rsidRPr="00846E0B">
              <w:rPr>
                <w:sz w:val="22"/>
                <w:szCs w:val="22"/>
              </w:rPr>
              <w:t>:</w:t>
            </w:r>
            <w:r w:rsidRPr="00846E0B">
              <w:rPr>
                <w:i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……………..</w:t>
            </w:r>
          </w:p>
        </w:tc>
      </w:tr>
    </w:tbl>
    <w:p w:rsidR="00846E0B" w:rsidRPr="00846E0B" w:rsidRDefault="00846E0B" w:rsidP="00846E0B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846E0B" w:rsidRPr="00846E0B" w:rsidTr="00474F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82370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green"/>
              </w:rPr>
              <w:t>Tantárgy</w:t>
            </w:r>
            <w:r w:rsidR="00846E0B" w:rsidRPr="00846E0B">
              <w:rPr>
                <w:b/>
                <w:sz w:val="22"/>
                <w:szCs w:val="22"/>
                <w:highlight w:val="green"/>
              </w:rPr>
              <w:t>leírás</w:t>
            </w:r>
            <w:r>
              <w:rPr>
                <w:b/>
                <w:sz w:val="22"/>
                <w:szCs w:val="22"/>
              </w:rPr>
              <w:t xml:space="preserve"> (max. 10 sor)</w:t>
            </w:r>
            <w:r w:rsidR="00846E0B" w:rsidRPr="00846E0B">
              <w:rPr>
                <w:sz w:val="22"/>
                <w:szCs w:val="22"/>
              </w:rPr>
              <w:t xml:space="preserve">: az elsajátítandó </w:t>
            </w:r>
            <w:r w:rsidR="00846E0B" w:rsidRPr="00846E0B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846E0B" w:rsidRPr="00846E0B" w:rsidTr="00474F46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46483" w:rsidRPr="00CB4EBD" w:rsidRDefault="00146483" w:rsidP="00146483">
            <w:pPr>
              <w:pStyle w:val="Szvegtrzs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7E6D06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Az előadás tágabb kontextusba ágyazza a német nyelvet, behelyezve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azt </w:t>
            </w:r>
            <w:r w:rsidRPr="007E6D06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 világ nyelvei közé. Felvázolja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az indoeurópai</w:t>
            </w:r>
            <w:r w:rsidRPr="007E6D06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és a germán előzményeket, a germán törzsek és nyelvek kialakulását. Bemutatja a német nyelv kiválását a germán nyelvek közül, ismerteti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nyelv</w:t>
            </w:r>
            <w:r w:rsidRPr="007E6D06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történeti korszakait,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azok tipikus írásbeliségét és forrásait valamint </w:t>
            </w:r>
            <w:r w:rsidRPr="007E6D06">
              <w:rPr>
                <w:rFonts w:ascii="Times New Roman" w:hAnsi="Times New Roman"/>
                <w:sz w:val="24"/>
                <w:szCs w:val="24"/>
                <w:lang w:val="hu-HU"/>
              </w:rPr>
              <w:t>a történetiségben gyökerező német dialektusokat. Leírja azokat a nyelv</w:t>
            </w:r>
            <w:r w:rsidRPr="007E6D06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 xml:space="preserve">történeti jelenségeket,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a</w:t>
            </w:r>
            <w:r w:rsidRPr="007E6D06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 xml:space="preserve">melyek hozzájárultak a német nyelv mai állapotának kialakulásához, illetve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 xml:space="preserve">amelyek </w:t>
            </w:r>
            <w:r w:rsidRPr="007E6D06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jelzik a változási tendenciákat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 xml:space="preserve">. Segíti a nyelvtörténeti </w:t>
            </w:r>
            <w:r w:rsidRPr="007E6D06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 xml:space="preserve">alapfogalmak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és kutatási módszerek megismerését és elsajátítását</w:t>
            </w:r>
            <w:r w:rsidRPr="007E6D06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.</w:t>
            </w:r>
          </w:p>
          <w:p w:rsidR="00846E0B" w:rsidRPr="00846E0B" w:rsidRDefault="00846E0B" w:rsidP="00474F46">
            <w:pPr>
              <w:suppressAutoHyphens/>
              <w:ind w:left="34"/>
              <w:rPr>
                <w:sz w:val="22"/>
                <w:szCs w:val="22"/>
              </w:rPr>
            </w:pPr>
          </w:p>
        </w:tc>
      </w:tr>
      <w:tr w:rsidR="00846E0B" w:rsidRPr="00846E0B" w:rsidTr="00474F4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6E0B" w:rsidRPr="00846E0B" w:rsidRDefault="00846E0B" w:rsidP="00474F4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2-5</w:t>
            </w:r>
            <w:r w:rsidRPr="00846E0B">
              <w:rPr>
                <w:sz w:val="22"/>
                <w:szCs w:val="22"/>
              </w:rPr>
              <w:t xml:space="preserve"> legfontosabb </w:t>
            </w:r>
            <w:r w:rsidRPr="00846E0B">
              <w:rPr>
                <w:i/>
                <w:sz w:val="22"/>
                <w:szCs w:val="22"/>
              </w:rPr>
              <w:t>kötelező,</w:t>
            </w:r>
            <w:r w:rsidRPr="00846E0B">
              <w:rPr>
                <w:sz w:val="22"/>
                <w:szCs w:val="22"/>
              </w:rPr>
              <w:t xml:space="preserve"> illetve </w:t>
            </w:r>
            <w:r w:rsidRPr="00846E0B">
              <w:rPr>
                <w:i/>
                <w:sz w:val="22"/>
                <w:szCs w:val="22"/>
              </w:rPr>
              <w:t>ajánlott</w:t>
            </w:r>
            <w:r w:rsidRPr="00846E0B">
              <w:rPr>
                <w:b/>
                <w:i/>
                <w:sz w:val="22"/>
                <w:szCs w:val="22"/>
              </w:rPr>
              <w:t xml:space="preserve"> </w:t>
            </w:r>
            <w:r w:rsidRPr="00846E0B">
              <w:rPr>
                <w:b/>
                <w:sz w:val="22"/>
                <w:szCs w:val="22"/>
                <w:highlight w:val="green"/>
              </w:rPr>
              <w:t>irodalom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46E0B" w:rsidRPr="00846E0B" w:rsidTr="00474F46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146483" w:rsidRDefault="00146483" w:rsidP="00146483">
            <w:pPr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146483" w:rsidRDefault="00146483" w:rsidP="00146483">
            <w:r>
              <w:t>P.M. Vogel: Sprachgeschichte</w:t>
            </w:r>
          </w:p>
          <w:p w:rsidR="00146483" w:rsidRDefault="00146483" w:rsidP="00146483">
            <w:pPr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146483" w:rsidRPr="007F55FF" w:rsidRDefault="00146483" w:rsidP="00146483">
            <w:r w:rsidRPr="007F55FF">
              <w:t xml:space="preserve">C.J. Hutterer: </w:t>
            </w:r>
            <w:r w:rsidRPr="007F55FF">
              <w:rPr>
                <w:i/>
              </w:rPr>
              <w:t xml:space="preserve">Die germanischen Sprachen </w:t>
            </w:r>
            <w:r w:rsidRPr="007F55FF">
              <w:t>3. überarb. Aufl. 1990.</w:t>
            </w:r>
          </w:p>
          <w:p w:rsidR="00146483" w:rsidRPr="007F55FF" w:rsidRDefault="00146483" w:rsidP="00146483">
            <w:r w:rsidRPr="007F55FF">
              <w:t xml:space="preserve">A. Stedje: </w:t>
            </w:r>
            <w:r w:rsidRPr="007F55FF">
              <w:rPr>
                <w:i/>
              </w:rPr>
              <w:t>Deutsche Sprache gestern und heute. München,1989</w:t>
            </w:r>
            <w:r>
              <w:rPr>
                <w:i/>
              </w:rPr>
              <w:t xml:space="preserve"> </w:t>
            </w:r>
            <w:r w:rsidRPr="007F55FF">
              <w:t>(UTB1499)</w:t>
            </w:r>
          </w:p>
          <w:p w:rsidR="00146483" w:rsidRPr="007F55FF" w:rsidRDefault="00146483" w:rsidP="00146483">
            <w:r w:rsidRPr="007F55FF">
              <w:t xml:space="preserve">W. Schmidt: </w:t>
            </w:r>
            <w:r w:rsidRPr="007F55FF">
              <w:rPr>
                <w:i/>
              </w:rPr>
              <w:t>Geschichte der deutschen Sprache</w:t>
            </w:r>
            <w:r w:rsidRPr="007F55FF">
              <w:t>. 9. Aufl., Stuttgart  2004</w:t>
            </w:r>
          </w:p>
          <w:p w:rsidR="00846E0B" w:rsidRPr="00846E0B" w:rsidRDefault="00846E0B" w:rsidP="00474F46">
            <w:pPr>
              <w:suppressAutoHyphens/>
              <w:ind w:left="34"/>
              <w:rPr>
                <w:sz w:val="22"/>
                <w:szCs w:val="22"/>
              </w:rPr>
            </w:pPr>
          </w:p>
        </w:tc>
      </w:tr>
      <w:tr w:rsidR="00846E0B" w:rsidRPr="00846E0B" w:rsidTr="00474F4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6E0B" w:rsidRPr="00846E0B" w:rsidRDefault="00846E0B" w:rsidP="00474F46">
            <w:pPr>
              <w:suppressAutoHyphens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lastRenderedPageBreak/>
              <w:t xml:space="preserve">Azoknak az </w:t>
            </w:r>
            <w:r w:rsidRPr="00846E0B">
              <w:rPr>
                <w:b/>
                <w:sz w:val="22"/>
                <w:szCs w:val="22"/>
              </w:rPr>
              <w:t>előírt</w:t>
            </w:r>
            <w:r w:rsidRPr="00846E0B">
              <w:rPr>
                <w:sz w:val="22"/>
                <w:szCs w:val="22"/>
              </w:rPr>
              <w:t xml:space="preserve"> s</w:t>
            </w:r>
            <w:r w:rsidRPr="00846E0B">
              <w:rPr>
                <w:b/>
                <w:sz w:val="22"/>
                <w:szCs w:val="22"/>
              </w:rPr>
              <w:t>zakmai kompetenciáknak, kompetencia-elemeknek</w:t>
            </w:r>
            <w:r w:rsidRPr="00846E0B">
              <w:rPr>
                <w:sz w:val="21"/>
                <w:szCs w:val="21"/>
              </w:rPr>
              <w:t xml:space="preserve"> </w:t>
            </w:r>
            <w:r w:rsidRPr="00846E0B">
              <w:rPr>
                <w:i/>
              </w:rPr>
              <w:t>(tudás, képesség</w:t>
            </w:r>
            <w:r w:rsidRPr="00846E0B">
              <w:t xml:space="preserve"> stb., </w:t>
            </w:r>
            <w:r w:rsidRPr="00846E0B">
              <w:rPr>
                <w:i/>
              </w:rPr>
              <w:t xml:space="preserve">KKK </w:t>
            </w:r>
            <w:r w:rsidRPr="00846E0B">
              <w:rPr>
                <w:b/>
                <w:i/>
              </w:rPr>
              <w:t>7.</w:t>
            </w:r>
            <w:r w:rsidRPr="00846E0B">
              <w:rPr>
                <w:i/>
              </w:rPr>
              <w:t xml:space="preserve"> pont</w:t>
            </w:r>
            <w:r w:rsidRPr="00846E0B">
              <w:t xml:space="preserve">) </w:t>
            </w:r>
            <w:r w:rsidRPr="00846E0B">
              <w:rPr>
                <w:sz w:val="22"/>
                <w:szCs w:val="22"/>
              </w:rPr>
              <w:t xml:space="preserve">a felsorolása, </w:t>
            </w:r>
            <w:r w:rsidRPr="00846E0B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846E0B" w:rsidRPr="00846E0B" w:rsidTr="00474F46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ind w:left="34"/>
              <w:rPr>
                <w:i/>
              </w:rPr>
            </w:pPr>
            <w:r w:rsidRPr="00846E0B">
              <w:rPr>
                <w:i/>
              </w:rPr>
              <w:t xml:space="preserve">pl.: </w:t>
            </w:r>
          </w:p>
          <w:p w:rsidR="00846E0B" w:rsidRPr="00846E0B" w:rsidRDefault="00846E0B" w:rsidP="00846E0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tudása</w:t>
            </w:r>
          </w:p>
          <w:p w:rsidR="00846E0B" w:rsidRPr="00846E0B" w:rsidRDefault="00846E0B" w:rsidP="00474F46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</w:t>
            </w:r>
          </w:p>
          <w:p w:rsidR="00846E0B" w:rsidRPr="00846E0B" w:rsidRDefault="00846E0B" w:rsidP="00474F46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-……..</w:t>
            </w:r>
          </w:p>
          <w:p w:rsidR="00846E0B" w:rsidRPr="00846E0B" w:rsidRDefault="00846E0B" w:rsidP="00846E0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képességei</w:t>
            </w:r>
          </w:p>
          <w:p w:rsidR="00846E0B" w:rsidRPr="00846E0B" w:rsidRDefault="00846E0B" w:rsidP="00474F46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</w:t>
            </w:r>
          </w:p>
          <w:p w:rsidR="00846E0B" w:rsidRPr="00846E0B" w:rsidRDefault="00846E0B" w:rsidP="00474F46">
            <w:pPr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-……..</w:t>
            </w:r>
          </w:p>
        </w:tc>
      </w:tr>
    </w:tbl>
    <w:p w:rsidR="00846E0B" w:rsidRPr="00846E0B" w:rsidRDefault="00846E0B" w:rsidP="00846E0B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846E0B" w:rsidRPr="00846E0B" w:rsidTr="00474F4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Tantárgy felelőse </w:t>
            </w: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>név, beosztás, tud. fokozat</w:t>
            </w:r>
            <w:r w:rsidRPr="00846E0B">
              <w:rPr>
                <w:sz w:val="22"/>
                <w:szCs w:val="22"/>
              </w:rPr>
              <w:t>)</w:t>
            </w:r>
            <w:r w:rsidRPr="00846E0B">
              <w:rPr>
                <w:b/>
                <w:sz w:val="22"/>
                <w:szCs w:val="22"/>
              </w:rPr>
              <w:t>: …………………….……</w:t>
            </w:r>
          </w:p>
        </w:tc>
      </w:tr>
      <w:tr w:rsidR="00846E0B" w:rsidRPr="00403737" w:rsidTr="00474F4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  <w:highlight w:val="green"/>
              </w:rPr>
              <w:t>Tantárgy oktatásába bevont oktató(k),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ha van(nak)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>név, beosztás, tud. fokozat</w:t>
            </w:r>
            <w:r w:rsidRPr="00846E0B">
              <w:rPr>
                <w:sz w:val="22"/>
                <w:szCs w:val="22"/>
              </w:rPr>
              <w:t>)</w:t>
            </w:r>
            <w:r w:rsidRPr="00846E0B">
              <w:rPr>
                <w:b/>
                <w:sz w:val="22"/>
                <w:szCs w:val="22"/>
              </w:rPr>
              <w:t>:</w:t>
            </w:r>
          </w:p>
          <w:p w:rsidR="00846E0B" w:rsidRPr="00403737" w:rsidRDefault="00146483" w:rsidP="0014648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Iványi Zsuzsanna, egy. docens, PhD</w:t>
            </w:r>
          </w:p>
        </w:tc>
      </w:tr>
    </w:tbl>
    <w:p w:rsidR="00C27456" w:rsidRDefault="00641F24"/>
    <w:sectPr w:rsidR="00C27456" w:rsidSect="00EE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24" w:rsidRDefault="00641F24" w:rsidP="00846E0B">
      <w:r>
        <w:separator/>
      </w:r>
    </w:p>
  </w:endnote>
  <w:endnote w:type="continuationSeparator" w:id="0">
    <w:p w:rsidR="00641F24" w:rsidRDefault="00641F24" w:rsidP="0084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24" w:rsidRDefault="00641F24" w:rsidP="00846E0B">
      <w:r>
        <w:separator/>
      </w:r>
    </w:p>
  </w:footnote>
  <w:footnote w:type="continuationSeparator" w:id="0">
    <w:p w:rsidR="00641F24" w:rsidRDefault="00641F24" w:rsidP="00846E0B">
      <w:r>
        <w:continuationSeparator/>
      </w:r>
    </w:p>
  </w:footnote>
  <w:footnote w:id="1">
    <w:p w:rsidR="00846E0B" w:rsidRPr="00A5216A" w:rsidRDefault="00846E0B" w:rsidP="00846E0B">
      <w:pPr>
        <w:pStyle w:val="Lbjegyzetszveg"/>
        <w:ind w:left="142" w:hanging="142"/>
        <w:rPr>
          <w:sz w:val="4"/>
          <w:szCs w:val="4"/>
        </w:rPr>
      </w:pPr>
    </w:p>
    <w:p w:rsidR="00846E0B" w:rsidRPr="0003723C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846E0B" w:rsidRPr="00CD5314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">
    <w:p w:rsidR="00846E0B" w:rsidRPr="00CD5314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4">
    <w:p w:rsidR="00846E0B" w:rsidRPr="00CD5314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0B"/>
    <w:rsid w:val="000364C9"/>
    <w:rsid w:val="00146483"/>
    <w:rsid w:val="00270141"/>
    <w:rsid w:val="00492A9C"/>
    <w:rsid w:val="005C7EBB"/>
    <w:rsid w:val="00617DA3"/>
    <w:rsid w:val="0063722A"/>
    <w:rsid w:val="00641F24"/>
    <w:rsid w:val="007B05DD"/>
    <w:rsid w:val="00846E0B"/>
    <w:rsid w:val="00882370"/>
    <w:rsid w:val="00A24B62"/>
    <w:rsid w:val="00BE6292"/>
    <w:rsid w:val="00EE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46E0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46E0B"/>
  </w:style>
  <w:style w:type="character" w:customStyle="1" w:styleId="LbjegyzetszvegChar">
    <w:name w:val="Lábjegyzetszöveg Char"/>
    <w:basedOn w:val="Bekezdsalapbettpusa"/>
    <w:link w:val="Lbjegyzetszveg"/>
    <w:semiHidden/>
    <w:rsid w:val="00846E0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846E0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Szvegtrzs">
    <w:name w:val="Body Text"/>
    <w:basedOn w:val="Norml"/>
    <w:link w:val="SzvegtrzsChar"/>
    <w:rsid w:val="00146483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lang w:val="de-DE" w:eastAsia="cs-CZ"/>
    </w:rPr>
  </w:style>
  <w:style w:type="character" w:customStyle="1" w:styleId="SzvegtrzsChar">
    <w:name w:val="Szövegtörzs Char"/>
    <w:basedOn w:val="Bekezdsalapbettpusa"/>
    <w:link w:val="Szvegtrzs"/>
    <w:rsid w:val="00146483"/>
    <w:rPr>
      <w:rFonts w:ascii="Century Schoolbook" w:eastAsia="Times New Roman" w:hAnsi="Century Schoolbook" w:cs="Times New Roman"/>
      <w:sz w:val="20"/>
      <w:szCs w:val="20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Andrea</dc:creator>
  <cp:lastModifiedBy>user</cp:lastModifiedBy>
  <cp:revision>2</cp:revision>
  <dcterms:created xsi:type="dcterms:W3CDTF">2020-03-10T13:36:00Z</dcterms:created>
  <dcterms:modified xsi:type="dcterms:W3CDTF">2020-03-10T13:36:00Z</dcterms:modified>
</cp:coreProperties>
</file>