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CC" w:rsidRPr="00845EB1" w:rsidRDefault="00E25697" w:rsidP="009C5BCC">
      <w:pPr>
        <w:rPr>
          <w:b/>
        </w:rPr>
      </w:pPr>
      <w:r w:rsidRPr="00845EB1">
        <w:rPr>
          <w:b/>
        </w:rPr>
        <w:t xml:space="preserve">Name der </w:t>
      </w:r>
      <w:r w:rsidR="00845EB1" w:rsidRPr="00845EB1">
        <w:rPr>
          <w:b/>
        </w:rPr>
        <w:t>Lehrveranstaltung</w:t>
      </w:r>
      <w:r w:rsidR="009C5BCC" w:rsidRPr="00845EB1">
        <w:rPr>
          <w:b/>
        </w:rPr>
        <w:t>:</w:t>
      </w:r>
      <w:r w:rsidR="00C679DC">
        <w:rPr>
          <w:b/>
        </w:rPr>
        <w:t xml:space="preserve"> </w:t>
      </w:r>
      <w:r w:rsidR="00C679DC">
        <w:t xml:space="preserve">Kontrastive Grammatik </w:t>
      </w:r>
      <w:r w:rsidR="000C5C94">
        <w:t>2</w:t>
      </w:r>
      <w:r w:rsidR="00C679DC">
        <w:t xml:space="preserve">: </w:t>
      </w:r>
      <w:r w:rsidR="000C5C94">
        <w:t>Syntax</w:t>
      </w:r>
    </w:p>
    <w:p w:rsidR="001555D1" w:rsidRDefault="001555D1" w:rsidP="005360D9">
      <w:pPr>
        <w:rPr>
          <w:b/>
        </w:rPr>
      </w:pPr>
      <w:r>
        <w:rPr>
          <w:b/>
        </w:rPr>
        <w:t xml:space="preserve">Typ der Lehrveranstaltung: </w:t>
      </w:r>
      <w:r w:rsidR="005360D9">
        <w:t>Seminar</w:t>
      </w:r>
    </w:p>
    <w:p w:rsidR="00956E79" w:rsidRPr="00845EB1" w:rsidRDefault="00E25697" w:rsidP="009C5BCC">
      <w:pPr>
        <w:rPr>
          <w:b/>
        </w:rPr>
      </w:pPr>
      <w:r w:rsidRPr="00845EB1">
        <w:rPr>
          <w:b/>
        </w:rPr>
        <w:t>Wochenstunden</w:t>
      </w:r>
      <w:r w:rsidR="00956E79" w:rsidRPr="00845EB1">
        <w:rPr>
          <w:b/>
        </w:rPr>
        <w:t xml:space="preserve">: </w:t>
      </w:r>
      <w:r w:rsidR="00C679DC">
        <w:t>2</w:t>
      </w:r>
      <w:r w:rsidR="00956E79" w:rsidRPr="00845EB1">
        <w:rPr>
          <w:b/>
        </w:rPr>
        <w:tab/>
      </w:r>
      <w:r w:rsidR="00956E79" w:rsidRPr="00845EB1">
        <w:rPr>
          <w:b/>
        </w:rPr>
        <w:tab/>
      </w:r>
    </w:p>
    <w:p w:rsidR="00956E79" w:rsidRPr="00845EB1" w:rsidRDefault="00956E79" w:rsidP="009C5BCC">
      <w:r w:rsidRPr="00845EB1">
        <w:rPr>
          <w:b/>
        </w:rPr>
        <w:tab/>
      </w:r>
      <w:r w:rsidRPr="00845EB1">
        <w:rPr>
          <w:b/>
        </w:rPr>
        <w:tab/>
      </w:r>
    </w:p>
    <w:p w:rsidR="00D00088" w:rsidRDefault="00E25697" w:rsidP="00D00088">
      <w:pPr>
        <w:jc w:val="both"/>
      </w:pPr>
      <w:r w:rsidRPr="00845EB1">
        <w:rPr>
          <w:b/>
        </w:rPr>
        <w:t>Form der Bewertung</w:t>
      </w:r>
      <w:r w:rsidR="00956E79" w:rsidRPr="00845EB1">
        <w:rPr>
          <w:b/>
        </w:rPr>
        <w:t xml:space="preserve">: </w:t>
      </w:r>
      <w:r w:rsidR="00D00088">
        <w:t>regelmäßige Leistungskontrollen – Seminarnote</w:t>
      </w:r>
    </w:p>
    <w:p w:rsidR="00956E79" w:rsidRDefault="00E25697" w:rsidP="009C5BCC">
      <w:pPr>
        <w:pStyle w:val="Szvegtrzs"/>
        <w:spacing w:after="0"/>
        <w:rPr>
          <w:rFonts w:ascii="Times New Roman" w:hAnsi="Times New Roman"/>
          <w:b/>
          <w:sz w:val="24"/>
          <w:szCs w:val="24"/>
        </w:rPr>
      </w:pPr>
      <w:r w:rsidRPr="00845EB1">
        <w:rPr>
          <w:rFonts w:ascii="Times New Roman" w:hAnsi="Times New Roman"/>
          <w:b/>
          <w:sz w:val="24"/>
          <w:szCs w:val="24"/>
        </w:rPr>
        <w:t>Beschreibung</w:t>
      </w:r>
      <w:r w:rsidR="00956E79" w:rsidRPr="00845EB1">
        <w:rPr>
          <w:b/>
        </w:rPr>
        <w:t>:</w:t>
      </w:r>
    </w:p>
    <w:p w:rsidR="00D00088" w:rsidRDefault="00D00088" w:rsidP="00CE0DB7">
      <w:pPr>
        <w:jc w:val="both"/>
        <w:rPr>
          <w:rFonts w:asciiTheme="majorBidi" w:hAnsiTheme="majorBidi" w:cstheme="majorBidi"/>
        </w:rPr>
      </w:pPr>
      <w:r>
        <w:t>Das Seminar soll die in den Vorlesungen thematisierten Inhalte an einer Reihe weiterer Illus</w:t>
      </w:r>
      <w:r>
        <w:t>t</w:t>
      </w:r>
      <w:r>
        <w:t>rationsbeispiele erläutern und die Teilnehmer durch gezielte Übungen dazu befähigen, die vermittelten Kenntnisse in der Sprachpraxis erfolgreich einzusetzen. Eine weitere Zielsetzung des Seminars besteht darin, etwaige Interpretationsschwierigkeiten in Zusammenhang mit den Vorlesungsinhalten zu erkennen und aufzulösen. Durch die Lehrveranstaltung sollen die St</w:t>
      </w:r>
      <w:r>
        <w:t>u</w:t>
      </w:r>
      <w:r>
        <w:t>dierenden die syntaktischen Besonderheiten nicht nur kennen lernen, sondern sich auch ihren aktiven Gebrauch aneignen. In den Seminarübungen wird besonderer Wert auf interferenzsti</w:t>
      </w:r>
      <w:r>
        <w:t>f</w:t>
      </w:r>
      <w:r>
        <w:t>tende syntaktische Erscheinungen gelegt.</w:t>
      </w:r>
    </w:p>
    <w:p w:rsidR="00D00088" w:rsidRDefault="00D00088" w:rsidP="00CE0DB7">
      <w:pPr>
        <w:jc w:val="both"/>
        <w:rPr>
          <w:rFonts w:asciiTheme="majorBidi" w:hAnsiTheme="majorBidi" w:cstheme="majorBidi"/>
        </w:rPr>
      </w:pPr>
    </w:p>
    <w:p w:rsidR="009C5BCC" w:rsidRPr="00797771" w:rsidRDefault="00E25697" w:rsidP="00797771">
      <w:pPr>
        <w:rPr>
          <w:b/>
        </w:rPr>
      </w:pPr>
      <w:r w:rsidRPr="00845EB1">
        <w:rPr>
          <w:b/>
        </w:rPr>
        <w:t>Thematik:</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tblPr>
      <w:tblGrid>
        <w:gridCol w:w="1101"/>
        <w:gridCol w:w="8127"/>
      </w:tblGrid>
      <w:tr w:rsidR="009C5BCC" w:rsidRPr="00845EB1" w:rsidTr="00845EB1">
        <w:tc>
          <w:tcPr>
            <w:tcW w:w="1101" w:type="dxa"/>
            <w:tcBorders>
              <w:top w:val="double" w:sz="6" w:space="0" w:color="000000"/>
              <w:bottom w:val="double" w:sz="6" w:space="0" w:color="auto"/>
            </w:tcBorders>
          </w:tcPr>
          <w:p w:rsidR="009C5BCC" w:rsidRPr="00845EB1" w:rsidRDefault="00E25697" w:rsidP="00797771">
            <w:pPr>
              <w:jc w:val="center"/>
              <w:rPr>
                <w:b/>
              </w:rPr>
            </w:pPr>
            <w:r w:rsidRPr="00845EB1">
              <w:rPr>
                <w:b/>
              </w:rPr>
              <w:t>Woche</w:t>
            </w:r>
          </w:p>
        </w:tc>
        <w:tc>
          <w:tcPr>
            <w:tcW w:w="8127" w:type="dxa"/>
            <w:tcBorders>
              <w:top w:val="double" w:sz="6" w:space="0" w:color="000000"/>
              <w:bottom w:val="double" w:sz="6" w:space="0" w:color="auto"/>
            </w:tcBorders>
          </w:tcPr>
          <w:p w:rsidR="009C5BCC" w:rsidRPr="00845EB1" w:rsidRDefault="009C5BCC" w:rsidP="009C5BCC">
            <w:pPr>
              <w:jc w:val="center"/>
              <w:rPr>
                <w:b/>
              </w:rPr>
            </w:pPr>
            <w:r w:rsidRPr="00845EB1">
              <w:rPr>
                <w:b/>
              </w:rPr>
              <w:t>T</w:t>
            </w:r>
            <w:r w:rsidR="00E25697" w:rsidRPr="00845EB1">
              <w:rPr>
                <w:b/>
              </w:rPr>
              <w:t>hema</w:t>
            </w:r>
          </w:p>
        </w:tc>
      </w:tr>
      <w:tr w:rsidR="00D66F70" w:rsidRPr="00845EB1" w:rsidTr="00845EB1">
        <w:tc>
          <w:tcPr>
            <w:tcW w:w="1101" w:type="dxa"/>
            <w:tcBorders>
              <w:top w:val="double" w:sz="6" w:space="0" w:color="auto"/>
            </w:tcBorders>
          </w:tcPr>
          <w:p w:rsidR="00D66F70" w:rsidRPr="00845EB1" w:rsidRDefault="00D66F70" w:rsidP="00D66F70">
            <w:pPr>
              <w:jc w:val="center"/>
            </w:pPr>
            <w:r w:rsidRPr="00845EB1">
              <w:t>1.</w:t>
            </w:r>
          </w:p>
        </w:tc>
        <w:tc>
          <w:tcPr>
            <w:tcW w:w="8127" w:type="dxa"/>
            <w:tcBorders>
              <w:top w:val="double" w:sz="6" w:space="0" w:color="auto"/>
            </w:tcBorders>
          </w:tcPr>
          <w:p w:rsidR="00D66F70" w:rsidRPr="00845EB1" w:rsidRDefault="00D66F70" w:rsidP="00D66F70">
            <w:pPr>
              <w:jc w:val="both"/>
            </w:pPr>
            <w:r w:rsidRPr="0033319F">
              <w:t>Syntax als grammatische Disziplin. Syntaxmodelle. Syntagmatische Relationen. Generative Syntax vs. Dependenzsyntax als theoretische Basis des Kurses.</w:t>
            </w:r>
          </w:p>
        </w:tc>
      </w:tr>
      <w:tr w:rsidR="00D66F70" w:rsidRPr="00845EB1" w:rsidTr="00845EB1">
        <w:tc>
          <w:tcPr>
            <w:tcW w:w="1101" w:type="dxa"/>
          </w:tcPr>
          <w:p w:rsidR="00D66F70" w:rsidRPr="00845EB1" w:rsidRDefault="00D66F70" w:rsidP="00D66F70">
            <w:pPr>
              <w:jc w:val="center"/>
            </w:pPr>
            <w:r w:rsidRPr="00845EB1">
              <w:t>2.</w:t>
            </w:r>
          </w:p>
        </w:tc>
        <w:tc>
          <w:tcPr>
            <w:tcW w:w="8127" w:type="dxa"/>
          </w:tcPr>
          <w:p w:rsidR="00D66F70" w:rsidRPr="00845EB1" w:rsidRDefault="00D66F70" w:rsidP="00D66F70">
            <w:pPr>
              <w:jc w:val="both"/>
            </w:pPr>
            <w:r w:rsidRPr="0033319F">
              <w:t>Kontrastive Syntax – was, wie, wozu? Theoretische Basis und Terminologie.</w:t>
            </w:r>
          </w:p>
        </w:tc>
      </w:tr>
      <w:tr w:rsidR="00D66F70" w:rsidRPr="00845EB1" w:rsidTr="00845EB1">
        <w:tc>
          <w:tcPr>
            <w:tcW w:w="1101" w:type="dxa"/>
          </w:tcPr>
          <w:p w:rsidR="00D66F70" w:rsidRPr="00845EB1" w:rsidRDefault="00D66F70" w:rsidP="00D66F70">
            <w:pPr>
              <w:jc w:val="center"/>
            </w:pPr>
            <w:r w:rsidRPr="00845EB1">
              <w:t>3.</w:t>
            </w:r>
          </w:p>
        </w:tc>
        <w:tc>
          <w:tcPr>
            <w:tcW w:w="8127" w:type="dxa"/>
          </w:tcPr>
          <w:p w:rsidR="00D66F70" w:rsidRPr="00845EB1" w:rsidRDefault="00D66F70" w:rsidP="00146CE5">
            <w:pPr>
              <w:jc w:val="both"/>
            </w:pPr>
            <w:r w:rsidRPr="0033319F">
              <w:t xml:space="preserve">Satzbaupläne. Satztopologie: Stellungseinheiten, topologische Faktoren, </w:t>
            </w:r>
            <w:r>
              <w:t xml:space="preserve">unmarkierte </w:t>
            </w:r>
            <w:r w:rsidR="00146CE5">
              <w:t xml:space="preserve">Stellung (= </w:t>
            </w:r>
            <w:r>
              <w:t>Grundfolge)</w:t>
            </w:r>
            <w:r w:rsidRPr="0033319F">
              <w:t>.</w:t>
            </w:r>
          </w:p>
        </w:tc>
      </w:tr>
      <w:tr w:rsidR="007100A1" w:rsidRPr="00845EB1" w:rsidTr="00845EB1">
        <w:tc>
          <w:tcPr>
            <w:tcW w:w="1101" w:type="dxa"/>
          </w:tcPr>
          <w:p w:rsidR="007100A1" w:rsidRPr="00845EB1" w:rsidRDefault="007100A1" w:rsidP="00D66F70">
            <w:pPr>
              <w:jc w:val="center"/>
            </w:pPr>
            <w:r>
              <w:t>4.</w:t>
            </w:r>
          </w:p>
        </w:tc>
        <w:tc>
          <w:tcPr>
            <w:tcW w:w="8127" w:type="dxa"/>
          </w:tcPr>
          <w:p w:rsidR="007100A1" w:rsidRPr="0033319F" w:rsidRDefault="007100A1" w:rsidP="00146CE5">
            <w:pPr>
              <w:jc w:val="both"/>
            </w:pPr>
            <w:r>
              <w:t>Die Satzergänzungen</w:t>
            </w:r>
            <w:r w:rsidR="00146CE5">
              <w:t>.</w:t>
            </w:r>
            <w:r>
              <w:t xml:space="preserve"> Übersicht und kontrastiver Vergleich. </w:t>
            </w:r>
          </w:p>
        </w:tc>
      </w:tr>
      <w:tr w:rsidR="007100A1" w:rsidRPr="00845EB1" w:rsidTr="00845EB1">
        <w:tc>
          <w:tcPr>
            <w:tcW w:w="1101" w:type="dxa"/>
          </w:tcPr>
          <w:p w:rsidR="007100A1" w:rsidRPr="00845EB1" w:rsidRDefault="007100A1" w:rsidP="00D66F70">
            <w:pPr>
              <w:jc w:val="center"/>
            </w:pPr>
            <w:r>
              <w:t>5.</w:t>
            </w:r>
          </w:p>
        </w:tc>
        <w:tc>
          <w:tcPr>
            <w:tcW w:w="8127" w:type="dxa"/>
          </w:tcPr>
          <w:p w:rsidR="007100A1" w:rsidRPr="0033319F" w:rsidRDefault="007100A1" w:rsidP="00146CE5">
            <w:pPr>
              <w:jc w:val="both"/>
            </w:pPr>
            <w:r>
              <w:t>Die Satzangaben</w:t>
            </w:r>
            <w:r w:rsidR="00146CE5">
              <w:t xml:space="preserve">. </w:t>
            </w:r>
            <w:r>
              <w:t>Übersicht und kontrastiver Vergleich.</w:t>
            </w:r>
          </w:p>
        </w:tc>
      </w:tr>
      <w:tr w:rsidR="00D66F70" w:rsidRPr="00845EB1" w:rsidTr="007B34F8">
        <w:tc>
          <w:tcPr>
            <w:tcW w:w="1101" w:type="dxa"/>
          </w:tcPr>
          <w:p w:rsidR="00D66F70" w:rsidRPr="00845EB1" w:rsidRDefault="007100A1" w:rsidP="00D66F70">
            <w:pPr>
              <w:jc w:val="center"/>
            </w:pPr>
            <w:r>
              <w:t>6</w:t>
            </w:r>
            <w:r w:rsidR="00D66F70" w:rsidRPr="00845EB1">
              <w:t>.</w:t>
            </w:r>
          </w:p>
        </w:tc>
        <w:tc>
          <w:tcPr>
            <w:tcW w:w="8127" w:type="dxa"/>
          </w:tcPr>
          <w:p w:rsidR="00D66F70" w:rsidRPr="00845EB1" w:rsidRDefault="00D66F70" w:rsidP="00D66F70">
            <w:pPr>
              <w:jc w:val="both"/>
            </w:pPr>
            <w:r w:rsidRPr="0033319F">
              <w:t>Satztopologie: syntaktische Bedingungen</w:t>
            </w:r>
            <w:r>
              <w:t xml:space="preserve">. Satzklammer und Stellungsfelder. </w:t>
            </w:r>
          </w:p>
        </w:tc>
      </w:tr>
      <w:tr w:rsidR="00D66F70" w:rsidRPr="00845EB1" w:rsidTr="007146F2">
        <w:tc>
          <w:tcPr>
            <w:tcW w:w="1101" w:type="dxa"/>
          </w:tcPr>
          <w:p w:rsidR="00D66F70" w:rsidRPr="00845EB1" w:rsidRDefault="007100A1" w:rsidP="00D66F70">
            <w:pPr>
              <w:ind w:left="360"/>
            </w:pPr>
            <w:r>
              <w:t>7</w:t>
            </w:r>
            <w:r w:rsidR="00D66F70" w:rsidRPr="00845EB1">
              <w:t>.</w:t>
            </w:r>
          </w:p>
        </w:tc>
        <w:tc>
          <w:tcPr>
            <w:tcW w:w="8127" w:type="dxa"/>
          </w:tcPr>
          <w:p w:rsidR="00D66F70" w:rsidRPr="00845EB1" w:rsidRDefault="00D66F70" w:rsidP="00D66F70">
            <w:pPr>
              <w:jc w:val="both"/>
            </w:pPr>
            <w:r w:rsidRPr="0033319F">
              <w:t>Satztopologie: morphosyntaktische Bedingungen</w:t>
            </w:r>
            <w:r>
              <w:t xml:space="preserve"> (Stellung im Mittelfeld).</w:t>
            </w:r>
          </w:p>
        </w:tc>
      </w:tr>
      <w:tr w:rsidR="00D66F70" w:rsidRPr="00845EB1" w:rsidTr="007146F2">
        <w:tc>
          <w:tcPr>
            <w:tcW w:w="1101" w:type="dxa"/>
          </w:tcPr>
          <w:p w:rsidR="00D66F70" w:rsidRPr="00845EB1" w:rsidRDefault="007100A1" w:rsidP="00D66F70">
            <w:pPr>
              <w:jc w:val="center"/>
            </w:pPr>
            <w:r>
              <w:t>8</w:t>
            </w:r>
            <w:r w:rsidR="00D66F70" w:rsidRPr="00845EB1">
              <w:t>.</w:t>
            </w:r>
          </w:p>
        </w:tc>
        <w:tc>
          <w:tcPr>
            <w:tcW w:w="8127" w:type="dxa"/>
          </w:tcPr>
          <w:p w:rsidR="00D66F70" w:rsidRPr="00845EB1" w:rsidRDefault="00D66F70" w:rsidP="00D66F70">
            <w:pPr>
              <w:jc w:val="both"/>
            </w:pPr>
            <w:r w:rsidRPr="0033319F">
              <w:t>Satztopologie: kommunikative Bedingungen</w:t>
            </w:r>
            <w:r>
              <w:t>.</w:t>
            </w:r>
            <w:r w:rsidRPr="0033319F">
              <w:t xml:space="preserve"> Thema-Rhema-Gliederung</w:t>
            </w:r>
            <w:r>
              <w:t>, ma</w:t>
            </w:r>
            <w:r>
              <w:t>r</w:t>
            </w:r>
            <w:r>
              <w:t>kierte Stellung.</w:t>
            </w:r>
          </w:p>
        </w:tc>
      </w:tr>
      <w:tr w:rsidR="00D66F70" w:rsidRPr="00845EB1" w:rsidTr="00845EB1">
        <w:tc>
          <w:tcPr>
            <w:tcW w:w="1101" w:type="dxa"/>
          </w:tcPr>
          <w:p w:rsidR="00D66F70" w:rsidRPr="00845EB1" w:rsidRDefault="007100A1" w:rsidP="00D66F70">
            <w:pPr>
              <w:jc w:val="center"/>
            </w:pPr>
            <w:r>
              <w:t>9</w:t>
            </w:r>
            <w:r w:rsidR="00D66F70" w:rsidRPr="00845EB1">
              <w:t>.</w:t>
            </w:r>
          </w:p>
        </w:tc>
        <w:tc>
          <w:tcPr>
            <w:tcW w:w="8127" w:type="dxa"/>
          </w:tcPr>
          <w:p w:rsidR="00D66F70" w:rsidRPr="00845EB1" w:rsidRDefault="00D66F70" w:rsidP="00D66F70">
            <w:pPr>
              <w:jc w:val="both"/>
            </w:pPr>
            <w:r w:rsidRPr="0033319F">
              <w:t>Nominalphrase: Wesen, dependenzielle und topologische Struktur</w:t>
            </w:r>
            <w:r>
              <w:t>.</w:t>
            </w:r>
          </w:p>
        </w:tc>
      </w:tr>
      <w:tr w:rsidR="00D66F70" w:rsidRPr="00845EB1" w:rsidTr="00845EB1">
        <w:tc>
          <w:tcPr>
            <w:tcW w:w="1101" w:type="dxa"/>
          </w:tcPr>
          <w:p w:rsidR="00D66F70" w:rsidRDefault="007100A1" w:rsidP="00D66F70">
            <w:pPr>
              <w:jc w:val="center"/>
            </w:pPr>
            <w:r>
              <w:t>10</w:t>
            </w:r>
            <w:r w:rsidR="00D66F70">
              <w:t>.</w:t>
            </w:r>
          </w:p>
        </w:tc>
        <w:tc>
          <w:tcPr>
            <w:tcW w:w="8127" w:type="dxa"/>
          </w:tcPr>
          <w:p w:rsidR="00D66F70" w:rsidRPr="0033319F" w:rsidRDefault="004B405E" w:rsidP="004B405E">
            <w:pPr>
              <w:jc w:val="both"/>
            </w:pPr>
            <w:r>
              <w:t>Attribute der Nominalphrase in dt.-ung. Vergleich.</w:t>
            </w:r>
          </w:p>
        </w:tc>
      </w:tr>
      <w:tr w:rsidR="00D66F70" w:rsidRPr="00845EB1" w:rsidTr="00845EB1">
        <w:tc>
          <w:tcPr>
            <w:tcW w:w="1101" w:type="dxa"/>
          </w:tcPr>
          <w:p w:rsidR="00D66F70" w:rsidRPr="00845EB1" w:rsidRDefault="007100A1" w:rsidP="00D66F70">
            <w:pPr>
              <w:jc w:val="center"/>
            </w:pPr>
            <w:r>
              <w:t>11</w:t>
            </w:r>
            <w:r w:rsidR="00D66F70" w:rsidRPr="00845EB1">
              <w:t>.</w:t>
            </w:r>
          </w:p>
        </w:tc>
        <w:tc>
          <w:tcPr>
            <w:tcW w:w="8127" w:type="dxa"/>
          </w:tcPr>
          <w:p w:rsidR="00D66F70" w:rsidRPr="00845EB1" w:rsidRDefault="00D66F70" w:rsidP="00D66F70">
            <w:pPr>
              <w:jc w:val="both"/>
            </w:pPr>
            <w:r w:rsidRPr="0033319F">
              <w:t>Topologie der NomP: ein kontrastiver Vergleich.</w:t>
            </w:r>
          </w:p>
        </w:tc>
      </w:tr>
      <w:tr w:rsidR="00D66F70" w:rsidRPr="00845EB1" w:rsidTr="00845EB1">
        <w:tc>
          <w:tcPr>
            <w:tcW w:w="1101" w:type="dxa"/>
          </w:tcPr>
          <w:p w:rsidR="00D66F70" w:rsidRPr="00845EB1" w:rsidRDefault="00D66F70" w:rsidP="00D66F70">
            <w:pPr>
              <w:jc w:val="center"/>
            </w:pPr>
            <w:r>
              <w:t>12</w:t>
            </w:r>
            <w:r w:rsidRPr="00845EB1">
              <w:t>.</w:t>
            </w:r>
          </w:p>
        </w:tc>
        <w:tc>
          <w:tcPr>
            <w:tcW w:w="8127" w:type="dxa"/>
          </w:tcPr>
          <w:p w:rsidR="00D66F70" w:rsidRPr="00845EB1" w:rsidRDefault="00D66F70" w:rsidP="007100A1">
            <w:pPr>
              <w:jc w:val="both"/>
            </w:pPr>
            <w:r w:rsidRPr="0033319F">
              <w:t xml:space="preserve">Komplexe Sätze und ihre </w:t>
            </w:r>
            <w:r w:rsidR="007100A1">
              <w:t>Klassifizierung</w:t>
            </w:r>
            <w:r w:rsidRPr="0033319F">
              <w:t>.</w:t>
            </w:r>
          </w:p>
        </w:tc>
      </w:tr>
      <w:tr w:rsidR="00D66F70" w:rsidRPr="00845EB1" w:rsidTr="00845EB1">
        <w:tc>
          <w:tcPr>
            <w:tcW w:w="1101" w:type="dxa"/>
          </w:tcPr>
          <w:p w:rsidR="00D66F70" w:rsidRPr="00845EB1" w:rsidRDefault="00D66F70" w:rsidP="00D66F70">
            <w:pPr>
              <w:jc w:val="center"/>
            </w:pPr>
            <w:r>
              <w:t>13</w:t>
            </w:r>
            <w:r w:rsidRPr="00845EB1">
              <w:t>.</w:t>
            </w:r>
          </w:p>
        </w:tc>
        <w:tc>
          <w:tcPr>
            <w:tcW w:w="8127" w:type="dxa"/>
          </w:tcPr>
          <w:p w:rsidR="00D66F70" w:rsidRPr="007751A7" w:rsidRDefault="00D66F70" w:rsidP="00D66F70">
            <w:pPr>
              <w:jc w:val="both"/>
            </w:pPr>
            <w:r w:rsidRPr="0033319F">
              <w:t xml:space="preserve">Ergänzungssatz-Komplexe: kontrastive Aspekte der </w:t>
            </w:r>
            <w:r w:rsidRPr="004B405E">
              <w:rPr>
                <w:i/>
              </w:rPr>
              <w:t>w</w:t>
            </w:r>
            <w:r w:rsidR="007100A1">
              <w:t>-Ergänzungssätze (Ausba</w:t>
            </w:r>
            <w:r w:rsidR="007100A1">
              <w:t>u</w:t>
            </w:r>
            <w:r w:rsidR="007100A1">
              <w:t>konstruktionen, definite und generalisierende Nebensätze).</w:t>
            </w:r>
          </w:p>
        </w:tc>
      </w:tr>
      <w:tr w:rsidR="00D66F70" w:rsidRPr="00845EB1" w:rsidTr="00845EB1">
        <w:tc>
          <w:tcPr>
            <w:tcW w:w="1101" w:type="dxa"/>
          </w:tcPr>
          <w:p w:rsidR="00D66F70" w:rsidRPr="00845EB1" w:rsidRDefault="00D66F70" w:rsidP="00D66F70">
            <w:pPr>
              <w:jc w:val="center"/>
            </w:pPr>
            <w:r>
              <w:t>14</w:t>
            </w:r>
            <w:r w:rsidRPr="00845EB1">
              <w:t>.</w:t>
            </w:r>
          </w:p>
        </w:tc>
        <w:tc>
          <w:tcPr>
            <w:tcW w:w="8127" w:type="dxa"/>
          </w:tcPr>
          <w:p w:rsidR="00D66F70" w:rsidRPr="00845EB1" w:rsidRDefault="00D66F70" w:rsidP="00D66F70">
            <w:pPr>
              <w:jc w:val="both"/>
            </w:pPr>
            <w:r w:rsidRPr="006D5349">
              <w:t>Wiederholung und Nachbereitung des Semesterstoffes, Beantwortung von Fr</w:t>
            </w:r>
            <w:r w:rsidRPr="006D5349">
              <w:t>a</w:t>
            </w:r>
            <w:r w:rsidRPr="006D5349">
              <w:t>gen.</w:t>
            </w:r>
          </w:p>
        </w:tc>
      </w:tr>
    </w:tbl>
    <w:p w:rsidR="009C5BCC" w:rsidRPr="00845EB1" w:rsidRDefault="009C5BCC" w:rsidP="009C5BCC">
      <w:pPr>
        <w:rPr>
          <w:b/>
        </w:rPr>
      </w:pPr>
    </w:p>
    <w:p w:rsidR="009C5BCC" w:rsidRPr="00845EB1" w:rsidRDefault="00E25697" w:rsidP="009C5BCC">
      <w:pPr>
        <w:rPr>
          <w:b/>
        </w:rPr>
      </w:pPr>
      <w:r w:rsidRPr="00845EB1">
        <w:rPr>
          <w:b/>
        </w:rPr>
        <w:t>Pflichtlektüre:</w:t>
      </w:r>
    </w:p>
    <w:p w:rsidR="005079B3" w:rsidRPr="005079B3" w:rsidRDefault="005079B3" w:rsidP="005079B3">
      <w:pPr>
        <w:jc w:val="both"/>
      </w:pPr>
      <w:proofErr w:type="spellStart"/>
      <w:r w:rsidRPr="005079B3">
        <w:t>Pilarský</w:t>
      </w:r>
      <w:proofErr w:type="spellEnd"/>
      <w:r w:rsidRPr="005079B3">
        <w:t>, J.</w:t>
      </w:r>
      <w:r w:rsidR="00BE4AA9">
        <w:t xml:space="preserve"> (</w:t>
      </w:r>
      <w:r w:rsidR="00135A1C">
        <w:t xml:space="preserve">Hrsg., </w:t>
      </w:r>
      <w:r w:rsidR="00BE4AA9">
        <w:t>2013).</w:t>
      </w:r>
      <w:r w:rsidRPr="005079B3">
        <w:t xml:space="preserve"> </w:t>
      </w:r>
      <w:r w:rsidRPr="00BE43CD">
        <w:rPr>
          <w:i/>
        </w:rPr>
        <w:t>Deutsch-ungarische kontrastive Grammatik.</w:t>
      </w:r>
      <w:r>
        <w:t xml:space="preserve"> Band </w:t>
      </w:r>
      <w:r w:rsidR="007100A1">
        <w:t>1</w:t>
      </w:r>
      <w:r>
        <w:t xml:space="preserve"> und 3. Debr</w:t>
      </w:r>
      <w:r>
        <w:t>e</w:t>
      </w:r>
      <w:r>
        <w:t xml:space="preserve">cen: Kossuth </w:t>
      </w:r>
      <w:proofErr w:type="spellStart"/>
      <w:r>
        <w:t>Egyetemi</w:t>
      </w:r>
      <w:proofErr w:type="spellEnd"/>
      <w:r>
        <w:t xml:space="preserve"> </w:t>
      </w:r>
      <w:proofErr w:type="spellStart"/>
      <w:r>
        <w:t>Kiadó</w:t>
      </w:r>
      <w:proofErr w:type="spellEnd"/>
      <w:r>
        <w:t>.</w:t>
      </w:r>
    </w:p>
    <w:p w:rsidR="009C5BCC" w:rsidRDefault="00E25697" w:rsidP="009C5BCC">
      <w:pPr>
        <w:rPr>
          <w:b/>
        </w:rPr>
      </w:pPr>
      <w:r w:rsidRPr="00845EB1">
        <w:rPr>
          <w:b/>
        </w:rPr>
        <w:t>Fakultative Lektüre:</w:t>
      </w:r>
    </w:p>
    <w:p w:rsidR="00B738CF" w:rsidRDefault="00B738CF" w:rsidP="003D5201">
      <w:pPr>
        <w:ind w:left="426" w:hanging="426"/>
        <w:jc w:val="both"/>
      </w:pPr>
      <w:r w:rsidRPr="00C2367C">
        <w:t>Engel, Ulrich (2004</w:t>
      </w:r>
      <w:r>
        <w:t>, 2., durchgesehene Auflage 2009</w:t>
      </w:r>
      <w:r w:rsidRPr="00C2367C">
        <w:t xml:space="preserve">): </w:t>
      </w:r>
      <w:r w:rsidRPr="00925BAE">
        <w:rPr>
          <w:i/>
        </w:rPr>
        <w:t>Deutsche Grammatik.</w:t>
      </w:r>
      <w:r w:rsidRPr="00C2367C">
        <w:t xml:space="preserve"> Neubearbe</w:t>
      </w:r>
      <w:r w:rsidRPr="00C2367C">
        <w:t>i</w:t>
      </w:r>
      <w:r w:rsidRPr="00C2367C">
        <w:t>tung. München: IUDICIUM Verlag GmbH.</w:t>
      </w:r>
    </w:p>
    <w:p w:rsidR="00B738CF" w:rsidRPr="003D5201" w:rsidRDefault="00B738CF" w:rsidP="003D5201">
      <w:pPr>
        <w:ind w:left="426" w:hanging="426"/>
        <w:jc w:val="both"/>
        <w:rPr>
          <w:lang w:val="hu-HU"/>
        </w:rPr>
      </w:pPr>
      <w:proofErr w:type="spellStart"/>
      <w:r w:rsidRPr="003D5201">
        <w:rPr>
          <w:lang w:val="hu-HU"/>
        </w:rPr>
        <w:t>Kessler</w:t>
      </w:r>
      <w:proofErr w:type="spellEnd"/>
      <w:r w:rsidRPr="003D5201">
        <w:rPr>
          <w:lang w:val="hu-HU"/>
        </w:rPr>
        <w:t xml:space="preserve">, Borbála (2000, </w:t>
      </w:r>
      <w:proofErr w:type="spellStart"/>
      <w:r w:rsidRPr="003D5201">
        <w:rPr>
          <w:lang w:val="hu-HU"/>
        </w:rPr>
        <w:t>Hrsg</w:t>
      </w:r>
      <w:proofErr w:type="spellEnd"/>
      <w:r w:rsidRPr="003D5201">
        <w:rPr>
          <w:lang w:val="hu-HU"/>
        </w:rPr>
        <w:t xml:space="preserve">.): </w:t>
      </w:r>
      <w:r w:rsidRPr="003D5201">
        <w:rPr>
          <w:i/>
          <w:lang w:val="hu-HU"/>
        </w:rPr>
        <w:t xml:space="preserve">Magyar grammatika. </w:t>
      </w:r>
      <w:r w:rsidRPr="003D5201">
        <w:rPr>
          <w:lang w:val="hu-HU"/>
        </w:rPr>
        <w:t>Budapest: Nemzeti Tankönyvkiadó.</w:t>
      </w:r>
    </w:p>
    <w:p w:rsidR="00B738CF" w:rsidRPr="003D5201" w:rsidRDefault="00B738CF" w:rsidP="003D5201">
      <w:pPr>
        <w:ind w:left="426" w:hanging="426"/>
        <w:jc w:val="both"/>
        <w:rPr>
          <w:lang w:val="hu-HU"/>
        </w:rPr>
      </w:pPr>
      <w:proofErr w:type="spellStart"/>
      <w:r w:rsidRPr="003D5201">
        <w:rPr>
          <w:lang w:val="hu-HU"/>
        </w:rPr>
        <w:t>Kiefer</w:t>
      </w:r>
      <w:proofErr w:type="spellEnd"/>
      <w:r w:rsidRPr="003D5201">
        <w:rPr>
          <w:lang w:val="hu-HU"/>
        </w:rPr>
        <w:t xml:space="preserve">, Ferenc (1999): Alaktan. In: É. Kiss, Katalin / </w:t>
      </w:r>
      <w:proofErr w:type="spellStart"/>
      <w:r w:rsidRPr="003D5201">
        <w:rPr>
          <w:lang w:val="hu-HU"/>
        </w:rPr>
        <w:t>Kiefer</w:t>
      </w:r>
      <w:proofErr w:type="spellEnd"/>
      <w:r w:rsidRPr="003D5201">
        <w:rPr>
          <w:lang w:val="hu-HU"/>
        </w:rPr>
        <w:t xml:space="preserve">, Ferenc / </w:t>
      </w:r>
      <w:proofErr w:type="spellStart"/>
      <w:r w:rsidRPr="003D5201">
        <w:rPr>
          <w:lang w:val="hu-HU"/>
        </w:rPr>
        <w:t>Siptár</w:t>
      </w:r>
      <w:proofErr w:type="spellEnd"/>
      <w:r w:rsidRPr="003D5201">
        <w:rPr>
          <w:lang w:val="hu-HU"/>
        </w:rPr>
        <w:t>, Péter (</w:t>
      </w:r>
      <w:proofErr w:type="spellStart"/>
      <w:r w:rsidRPr="003D5201">
        <w:rPr>
          <w:lang w:val="hu-HU"/>
        </w:rPr>
        <w:t>Hrsg</w:t>
      </w:r>
      <w:proofErr w:type="spellEnd"/>
      <w:r w:rsidRPr="003D5201">
        <w:rPr>
          <w:lang w:val="hu-HU"/>
        </w:rPr>
        <w:t xml:space="preserve">.): </w:t>
      </w:r>
      <w:r w:rsidRPr="003D5201">
        <w:rPr>
          <w:i/>
          <w:iCs/>
          <w:lang w:val="hu-HU"/>
        </w:rPr>
        <w:t>Új magyar nyelvtan</w:t>
      </w:r>
      <w:r w:rsidRPr="003D5201">
        <w:rPr>
          <w:lang w:val="hu-HU"/>
        </w:rPr>
        <w:t>, 185-290. Budapest: Osiris Kiadó.</w:t>
      </w:r>
    </w:p>
    <w:p w:rsidR="00B738CF" w:rsidRPr="003D5201" w:rsidRDefault="00B738CF" w:rsidP="003D5201">
      <w:pPr>
        <w:ind w:left="426" w:hanging="426"/>
        <w:jc w:val="both"/>
        <w:rPr>
          <w:lang w:val="hu-HU"/>
        </w:rPr>
      </w:pPr>
      <w:proofErr w:type="spellStart"/>
      <w:r w:rsidRPr="003D5201">
        <w:rPr>
          <w:lang w:val="hu-HU"/>
        </w:rPr>
        <w:t>Kiefer</w:t>
      </w:r>
      <w:proofErr w:type="spellEnd"/>
      <w:r w:rsidRPr="003D5201">
        <w:rPr>
          <w:lang w:val="hu-HU"/>
        </w:rPr>
        <w:t xml:space="preserve">, Ferenc (2000, </w:t>
      </w:r>
      <w:proofErr w:type="spellStart"/>
      <w:r w:rsidRPr="003D5201">
        <w:rPr>
          <w:lang w:val="hu-HU"/>
        </w:rPr>
        <w:t>Hrsg</w:t>
      </w:r>
      <w:proofErr w:type="spellEnd"/>
      <w:r w:rsidRPr="003D5201">
        <w:rPr>
          <w:lang w:val="hu-HU"/>
        </w:rPr>
        <w:t xml:space="preserve">.): </w:t>
      </w:r>
      <w:r w:rsidRPr="003D5201">
        <w:rPr>
          <w:i/>
          <w:lang w:val="hu-HU"/>
        </w:rPr>
        <w:t>Strukturális magyar nyelvtan. 3. kötet: Morfológia.</w:t>
      </w:r>
      <w:r w:rsidRPr="003D5201">
        <w:rPr>
          <w:lang w:val="hu-HU"/>
        </w:rPr>
        <w:t xml:space="preserve"> Budapest: Akadémiai Kiadó.</w:t>
      </w:r>
    </w:p>
    <w:p w:rsidR="005079B3" w:rsidRPr="00B738CF" w:rsidRDefault="00B738CF" w:rsidP="003D5201">
      <w:pPr>
        <w:ind w:left="426" w:hanging="426"/>
        <w:jc w:val="both"/>
        <w:rPr>
          <w:iCs/>
        </w:rPr>
      </w:pPr>
      <w:r w:rsidRPr="00925BAE">
        <w:rPr>
          <w:iCs/>
        </w:rPr>
        <w:t xml:space="preserve">Zifonun, Gisela / Hoffmann, Ludger / Strecker, Bruno (1997). </w:t>
      </w:r>
      <w:r w:rsidRPr="00925BAE">
        <w:rPr>
          <w:i/>
        </w:rPr>
        <w:t xml:space="preserve">Grammatik der deutschen Sprache. </w:t>
      </w:r>
      <w:r w:rsidRPr="00925BAE">
        <w:rPr>
          <w:iCs/>
        </w:rPr>
        <w:t>Berlin – New York: Walter de Gruyter.</w:t>
      </w:r>
    </w:p>
    <w:sectPr w:rsidR="005079B3" w:rsidRPr="00B738CF" w:rsidSect="00A6693C">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entury Schoolbook">
    <w:altName w:val="Century"/>
    <w:charset w:val="EE"/>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A6EA3"/>
    <w:multiLevelType w:val="hybridMultilevel"/>
    <w:tmpl w:val="6D42F08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1">
    <w:nsid w:val="6ECF5B6A"/>
    <w:multiLevelType w:val="hybridMultilevel"/>
    <w:tmpl w:val="75606A7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autoHyphenation/>
  <w:hyphenationZone w:val="425"/>
  <w:characterSpacingControl w:val="doNotCompress"/>
  <w:compat>
    <w:useFELayout/>
  </w:compat>
  <w:rsids>
    <w:rsidRoot w:val="00956E79"/>
    <w:rsid w:val="000C5C94"/>
    <w:rsid w:val="000D383F"/>
    <w:rsid w:val="00121DDE"/>
    <w:rsid w:val="00135A1C"/>
    <w:rsid w:val="00146CE5"/>
    <w:rsid w:val="001555D1"/>
    <w:rsid w:val="00164D97"/>
    <w:rsid w:val="001D5A81"/>
    <w:rsid w:val="00200372"/>
    <w:rsid w:val="002616E7"/>
    <w:rsid w:val="00263D5F"/>
    <w:rsid w:val="00326067"/>
    <w:rsid w:val="003357E3"/>
    <w:rsid w:val="00387BAB"/>
    <w:rsid w:val="003D5201"/>
    <w:rsid w:val="003E7FC9"/>
    <w:rsid w:val="0042504F"/>
    <w:rsid w:val="00465EDE"/>
    <w:rsid w:val="004B405E"/>
    <w:rsid w:val="005079B3"/>
    <w:rsid w:val="00514961"/>
    <w:rsid w:val="005360D9"/>
    <w:rsid w:val="0057580C"/>
    <w:rsid w:val="006A0D75"/>
    <w:rsid w:val="00705504"/>
    <w:rsid w:val="007100A1"/>
    <w:rsid w:val="00723398"/>
    <w:rsid w:val="00744D37"/>
    <w:rsid w:val="007751A7"/>
    <w:rsid w:val="007802FC"/>
    <w:rsid w:val="00797771"/>
    <w:rsid w:val="008406F4"/>
    <w:rsid w:val="00845EB1"/>
    <w:rsid w:val="008C0C76"/>
    <w:rsid w:val="009004C7"/>
    <w:rsid w:val="00956E79"/>
    <w:rsid w:val="009C5BCC"/>
    <w:rsid w:val="00A57DD2"/>
    <w:rsid w:val="00A6693C"/>
    <w:rsid w:val="00A67B60"/>
    <w:rsid w:val="00A708EF"/>
    <w:rsid w:val="00AA1F4F"/>
    <w:rsid w:val="00AA75CE"/>
    <w:rsid w:val="00AF6CDF"/>
    <w:rsid w:val="00B14524"/>
    <w:rsid w:val="00B35BA3"/>
    <w:rsid w:val="00B738CF"/>
    <w:rsid w:val="00BB0106"/>
    <w:rsid w:val="00BC66F0"/>
    <w:rsid w:val="00BE43CD"/>
    <w:rsid w:val="00BE4AA9"/>
    <w:rsid w:val="00C268B1"/>
    <w:rsid w:val="00C679DC"/>
    <w:rsid w:val="00C904B3"/>
    <w:rsid w:val="00CE0DB7"/>
    <w:rsid w:val="00D00088"/>
    <w:rsid w:val="00D66F70"/>
    <w:rsid w:val="00E25697"/>
    <w:rsid w:val="00EA09E1"/>
    <w:rsid w:val="00F532FC"/>
    <w:rsid w:val="00FC49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rPr>
      <w:rFonts w:eastAsia="Times New Roman" w:cs="Times New Roman"/>
      <w:lang w:eastAsia="hu-HU"/>
    </w:rPr>
  </w:style>
  <w:style w:type="paragraph" w:styleId="Cmsor1">
    <w:name w:val="heading 1"/>
    <w:basedOn w:val="Norml"/>
    <w:next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kern w:val="32"/>
      <w:sz w:val="32"/>
      <w:szCs w:val="32"/>
      <w:lang w:eastAsia="cs-CZ"/>
    </w:rPr>
  </w:style>
  <w:style w:type="paragraph" w:styleId="Cmsor3">
    <w:name w:val="heading 3"/>
    <w:basedOn w:val="Norml"/>
    <w:next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6E79"/>
    <w:rPr>
      <w:rFonts w:ascii="Arial" w:eastAsia="Times New Roman" w:hAnsi="Arial" w:cs="Arial"/>
      <w:b/>
      <w:bCs/>
      <w:kern w:val="32"/>
      <w:sz w:val="32"/>
      <w:szCs w:val="32"/>
      <w:lang w:eastAsia="cs-CZ"/>
    </w:rPr>
  </w:style>
  <w:style w:type="character" w:customStyle="1" w:styleId="Cmsor3Char">
    <w:name w:val="Címsor 3 Char"/>
    <w:basedOn w:val="Bekezdsalapbettpusa"/>
    <w:link w:val="Cmsor3"/>
    <w:rsid w:val="00956E79"/>
    <w:rPr>
      <w:rFonts w:ascii="Century Schoolbook" w:eastAsia="Times New Roman" w:hAnsi="Century Schoolbook" w:cs="Times New Roman"/>
      <w:sz w:val="28"/>
      <w:szCs w:val="20"/>
      <w:lang w:eastAsia="cs-CZ"/>
    </w:rPr>
  </w:style>
  <w:style w:type="character" w:styleId="Hiperhivatkozs">
    <w:name w:val="Hyperlink"/>
    <w:rsid w:val="00956E79"/>
    <w:rPr>
      <w:color w:val="0000FF"/>
      <w:u w:val="single"/>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character" w:customStyle="1" w:styleId="SzvegtrzsChar">
    <w:name w:val="Szövegtörzs Char"/>
    <w:basedOn w:val="Bekezdsalapbettpusa"/>
    <w:link w:val="Szvegtrzs"/>
    <w:rsid w:val="00956E79"/>
    <w:rPr>
      <w:rFonts w:ascii="Century Schoolbook" w:eastAsia="Times New Roman" w:hAnsi="Century Schoolbook" w:cs="Times New Roman"/>
      <w:sz w:val="20"/>
      <w:szCs w:val="20"/>
      <w:lang w:eastAsia="cs-CZ"/>
    </w:rPr>
  </w:style>
  <w:style w:type="paragraph" w:styleId="Listaszerbekezds">
    <w:name w:val="List Paragraph"/>
    <w:basedOn w:val="Norml"/>
    <w:uiPriority w:val="34"/>
    <w:qFormat/>
    <w:rsid w:val="00D00088"/>
    <w:pPr>
      <w:ind w:left="720"/>
      <w:contextualSpacing/>
    </w:pPr>
    <w:rPr>
      <w:lang w:val="hu-H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2450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2022-03-21T09:29:00Z</dcterms:created>
  <dcterms:modified xsi:type="dcterms:W3CDTF">2022-03-21T09:29:00Z</dcterms:modified>
</cp:coreProperties>
</file>