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0D1BC" w14:textId="06DB3BDB" w:rsidR="009C5BCC" w:rsidRPr="00845EB1" w:rsidRDefault="00E25697" w:rsidP="009C5BCC">
      <w:pPr>
        <w:rPr>
          <w:b/>
        </w:rPr>
      </w:pPr>
      <w:bookmarkStart w:id="0" w:name="_GoBack"/>
      <w:bookmarkEnd w:id="0"/>
      <w:r w:rsidRPr="00845EB1">
        <w:rPr>
          <w:b/>
        </w:rPr>
        <w:t xml:space="preserve">Name der </w:t>
      </w:r>
      <w:r w:rsidR="00845EB1" w:rsidRPr="00845EB1">
        <w:rPr>
          <w:b/>
        </w:rPr>
        <w:t>Lehrveranstaltung</w:t>
      </w:r>
      <w:r w:rsidR="009C5BCC" w:rsidRPr="00845EB1">
        <w:rPr>
          <w:b/>
        </w:rPr>
        <w:t>:</w:t>
      </w:r>
      <w:r w:rsidR="00C679DC">
        <w:rPr>
          <w:b/>
        </w:rPr>
        <w:t xml:space="preserve"> </w:t>
      </w:r>
      <w:r w:rsidR="00C679DC">
        <w:t xml:space="preserve">Kontrastive Grammatik </w:t>
      </w:r>
      <w:r w:rsidR="000C5C94">
        <w:t>2</w:t>
      </w:r>
      <w:r w:rsidR="00C679DC">
        <w:t xml:space="preserve">: </w:t>
      </w:r>
      <w:r w:rsidR="000C5C94">
        <w:t>Syntax</w:t>
      </w:r>
    </w:p>
    <w:p w14:paraId="2F147C18" w14:textId="025CF80D" w:rsidR="00DA150D" w:rsidRDefault="00DA150D" w:rsidP="00DA150D">
      <w:pPr>
        <w:rPr>
          <w:b/>
        </w:rPr>
      </w:pPr>
      <w:r>
        <w:rPr>
          <w:b/>
        </w:rPr>
        <w:t xml:space="preserve">Typ der Lehrveranstaltung: </w:t>
      </w:r>
      <w:r w:rsidRPr="00FC49F0">
        <w:t>Vorlesung</w:t>
      </w:r>
    </w:p>
    <w:p w14:paraId="4DB8A833" w14:textId="3916CBB6" w:rsidR="009C5BCC" w:rsidRPr="00C206D0" w:rsidRDefault="008406F4" w:rsidP="009C5BCC">
      <w:r>
        <w:rPr>
          <w:b/>
        </w:rPr>
        <w:t>Codenummer</w:t>
      </w:r>
      <w:r w:rsidR="009C5BCC" w:rsidRPr="00845EB1">
        <w:rPr>
          <w:b/>
        </w:rPr>
        <w:t>:</w:t>
      </w:r>
      <w:r w:rsidR="00C206D0">
        <w:rPr>
          <w:b/>
        </w:rPr>
        <w:t xml:space="preserve"> </w:t>
      </w:r>
      <w:r w:rsidR="00C206D0">
        <w:t xml:space="preserve">BTNM 415 </w:t>
      </w:r>
      <w:r w:rsidR="00B11B57">
        <w:t>O</w:t>
      </w:r>
      <w:r w:rsidR="00C206D0">
        <w:t>MA</w:t>
      </w:r>
      <w:r w:rsidR="00B11B57">
        <w:t>L</w:t>
      </w:r>
    </w:p>
    <w:p w14:paraId="5BF81C46" w14:textId="5453595F" w:rsidR="00956E79" w:rsidRPr="00845EB1" w:rsidRDefault="00E25697" w:rsidP="009C5BCC">
      <w:pPr>
        <w:rPr>
          <w:b/>
        </w:rPr>
      </w:pPr>
      <w:r w:rsidRPr="00845EB1">
        <w:rPr>
          <w:b/>
        </w:rPr>
        <w:t>Wochenstunden</w:t>
      </w:r>
      <w:r w:rsidR="00956E79" w:rsidRPr="00845EB1">
        <w:rPr>
          <w:b/>
        </w:rPr>
        <w:t xml:space="preserve">: </w:t>
      </w:r>
      <w:r w:rsidR="00C679DC">
        <w:t>2</w:t>
      </w:r>
      <w:r w:rsidR="00956E79" w:rsidRPr="00845EB1">
        <w:rPr>
          <w:b/>
        </w:rPr>
        <w:tab/>
      </w:r>
      <w:r w:rsidR="00956E79" w:rsidRPr="00845EB1">
        <w:rPr>
          <w:b/>
        </w:rPr>
        <w:tab/>
      </w:r>
    </w:p>
    <w:p w14:paraId="3006FEF7" w14:textId="08657737" w:rsidR="00956E79" w:rsidRPr="00845EB1" w:rsidRDefault="00E25697" w:rsidP="009C5BCC">
      <w:r w:rsidRPr="00845EB1">
        <w:rPr>
          <w:b/>
        </w:rPr>
        <w:t>Kreditpunkte</w:t>
      </w:r>
      <w:r w:rsidR="00956E79" w:rsidRPr="00845EB1">
        <w:rPr>
          <w:b/>
        </w:rPr>
        <w:t xml:space="preserve">: </w:t>
      </w:r>
      <w:r w:rsidR="00B11B57">
        <w:rPr>
          <w:b/>
        </w:rPr>
        <w:t>3</w:t>
      </w:r>
      <w:r w:rsidR="00956E79" w:rsidRPr="00845EB1">
        <w:rPr>
          <w:b/>
        </w:rPr>
        <w:tab/>
      </w:r>
      <w:r w:rsidR="00956E79" w:rsidRPr="00845EB1">
        <w:rPr>
          <w:b/>
        </w:rPr>
        <w:tab/>
      </w:r>
      <w:r w:rsidR="00956E79" w:rsidRPr="00845EB1">
        <w:rPr>
          <w:b/>
        </w:rPr>
        <w:tab/>
      </w:r>
    </w:p>
    <w:p w14:paraId="404B952A" w14:textId="379B2F74" w:rsidR="00956E79" w:rsidRPr="00845EB1" w:rsidRDefault="00E25697" w:rsidP="009C5BCC">
      <w:r w:rsidRPr="00845EB1">
        <w:rPr>
          <w:b/>
        </w:rPr>
        <w:t>Form der Bewertung</w:t>
      </w:r>
      <w:r w:rsidR="00956E79" w:rsidRPr="00845EB1">
        <w:rPr>
          <w:b/>
        </w:rPr>
        <w:t xml:space="preserve">: </w:t>
      </w:r>
      <w:r w:rsidR="00C679DC">
        <w:t>Semesterprüfung</w:t>
      </w:r>
    </w:p>
    <w:p w14:paraId="23504A9B" w14:textId="57785100" w:rsidR="00956E79" w:rsidRDefault="00E25697" w:rsidP="009C5BCC">
      <w:pPr>
        <w:pStyle w:val="Szvegtrzs"/>
        <w:spacing w:after="0"/>
        <w:rPr>
          <w:rFonts w:ascii="Times New Roman" w:hAnsi="Times New Roman"/>
          <w:b/>
          <w:sz w:val="24"/>
          <w:szCs w:val="24"/>
        </w:rPr>
      </w:pPr>
      <w:r w:rsidRPr="00845EB1">
        <w:rPr>
          <w:rFonts w:ascii="Times New Roman" w:hAnsi="Times New Roman"/>
          <w:b/>
          <w:sz w:val="24"/>
          <w:szCs w:val="24"/>
        </w:rPr>
        <w:t>Beschreibung</w:t>
      </w:r>
      <w:r w:rsidR="00956E79" w:rsidRPr="00845EB1">
        <w:rPr>
          <w:b/>
        </w:rPr>
        <w:t>:</w:t>
      </w:r>
    </w:p>
    <w:p w14:paraId="0947C8CA" w14:textId="52ACBDD7" w:rsidR="00CE0DB7" w:rsidRDefault="006A0D75" w:rsidP="00CE0DB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Die Behandlung der einzelnen syntaktischen Erscheinungen erfolgt unter Einsatz eines kontrastiven Kommentars sowie unter </w:t>
      </w:r>
      <w:r w:rsidR="00A67B60">
        <w:rPr>
          <w:rFonts w:asciiTheme="majorBidi" w:hAnsiTheme="majorBidi" w:cstheme="majorBidi"/>
        </w:rPr>
        <w:t xml:space="preserve">maximaler </w:t>
      </w:r>
      <w:r>
        <w:rPr>
          <w:rFonts w:asciiTheme="majorBidi" w:hAnsiTheme="majorBidi" w:cstheme="majorBidi"/>
        </w:rPr>
        <w:t>Anwendung de</w:t>
      </w:r>
      <w:r w:rsidR="00A67B6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grafischen </w:t>
      </w:r>
      <w:r w:rsidR="00A67B60">
        <w:rPr>
          <w:rFonts w:asciiTheme="majorBidi" w:hAnsiTheme="majorBidi" w:cstheme="majorBidi"/>
        </w:rPr>
        <w:t>Darstellungsinstrumentariums</w:t>
      </w:r>
      <w:r w:rsidR="008C0C76">
        <w:rPr>
          <w:rFonts w:asciiTheme="majorBidi" w:hAnsiTheme="majorBidi" w:cstheme="majorBidi"/>
        </w:rPr>
        <w:t xml:space="preserve"> der gewählten theoretischen Basis</w:t>
      </w:r>
      <w:r w:rsidR="00B11B57">
        <w:rPr>
          <w:rFonts w:asciiTheme="majorBidi" w:hAnsiTheme="majorBidi" w:cstheme="majorBidi"/>
        </w:rPr>
        <w:t xml:space="preserve"> (Ulrich Engels Modell der Dependenzverbgrammatik)</w:t>
      </w:r>
      <w:r w:rsidR="008C0C76">
        <w:rPr>
          <w:rFonts w:asciiTheme="majorBidi" w:hAnsiTheme="majorBidi" w:cstheme="majorBidi"/>
        </w:rPr>
        <w:t>. Die Präsentation der strukturell-typologischen Abweichungen zwischen dem angesichts seiner ural-altaischen Herkunft vorherrschend prädeterminierenden Ungarisch und dem typologisch gemischten (d.h. prä- und postdeterminierenden) Deutsch</w:t>
      </w:r>
      <w:r w:rsidR="00263D5F">
        <w:rPr>
          <w:rFonts w:asciiTheme="majorBidi" w:hAnsiTheme="majorBidi" w:cstheme="majorBidi"/>
        </w:rPr>
        <w:t xml:space="preserve">, die unter besonderer Berücksichtigung der </w:t>
      </w:r>
      <w:r w:rsidR="00EA09E1">
        <w:rPr>
          <w:rFonts w:asciiTheme="majorBidi" w:hAnsiTheme="majorBidi" w:cstheme="majorBidi"/>
        </w:rPr>
        <w:t xml:space="preserve">in mehrerer Hinsicht </w:t>
      </w:r>
      <w:r w:rsidR="00F532FC">
        <w:rPr>
          <w:rFonts w:asciiTheme="majorBidi" w:hAnsiTheme="majorBidi" w:cstheme="majorBidi"/>
        </w:rPr>
        <w:t xml:space="preserve">divergent aufgebauten Nominalphrase erfolgt, </w:t>
      </w:r>
      <w:r w:rsidR="00723398">
        <w:rPr>
          <w:rFonts w:asciiTheme="majorBidi" w:hAnsiTheme="majorBidi" w:cstheme="majorBidi"/>
        </w:rPr>
        <w:t xml:space="preserve">stellt ein Bindeglied zu anderen Disziplinen dar wie z.B. zur Übersetzungstheorie bzw. zur Textproduktion. In diesem Zusammenhang werden auch verschiedene </w:t>
      </w:r>
      <w:r w:rsidR="00B35BA3">
        <w:rPr>
          <w:rFonts w:asciiTheme="majorBidi" w:hAnsiTheme="majorBidi" w:cstheme="majorBidi"/>
        </w:rPr>
        <w:t>durch</w:t>
      </w:r>
      <w:r w:rsidR="00723398">
        <w:rPr>
          <w:rFonts w:asciiTheme="majorBidi" w:hAnsiTheme="majorBidi" w:cstheme="majorBidi"/>
        </w:rPr>
        <w:t xml:space="preserve"> abweichende Valenz</w:t>
      </w:r>
      <w:r w:rsidR="00B35BA3">
        <w:rPr>
          <w:rFonts w:asciiTheme="majorBidi" w:hAnsiTheme="majorBidi" w:cstheme="majorBidi"/>
        </w:rPr>
        <w:t xml:space="preserve">strukturen bedingte Interferenzerscheinungen </w:t>
      </w:r>
      <w:r w:rsidR="003357E3">
        <w:rPr>
          <w:rFonts w:asciiTheme="majorBidi" w:hAnsiTheme="majorBidi" w:cstheme="majorBidi"/>
        </w:rPr>
        <w:t>thematisiert</w:t>
      </w:r>
      <w:r w:rsidR="00B35BA3">
        <w:rPr>
          <w:rFonts w:asciiTheme="majorBidi" w:hAnsiTheme="majorBidi" w:cstheme="majorBidi"/>
        </w:rPr>
        <w:t>.</w:t>
      </w:r>
    </w:p>
    <w:p w14:paraId="078A3039" w14:textId="295815EA" w:rsidR="00956E79" w:rsidRPr="00845EB1" w:rsidRDefault="00E25697" w:rsidP="009C5BCC">
      <w:pPr>
        <w:rPr>
          <w:b/>
        </w:rPr>
      </w:pPr>
      <w:r w:rsidRPr="00845EB1">
        <w:rPr>
          <w:b/>
        </w:rPr>
        <w:t>Thematik:</w:t>
      </w:r>
    </w:p>
    <w:tbl>
      <w:tblPr>
        <w:tblW w:w="92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101"/>
        <w:gridCol w:w="8127"/>
      </w:tblGrid>
      <w:tr w:rsidR="009C5BCC" w:rsidRPr="00845EB1" w14:paraId="2011174B" w14:textId="77777777" w:rsidTr="00B11B57">
        <w:tc>
          <w:tcPr>
            <w:tcW w:w="1101" w:type="dxa"/>
            <w:tcBorders>
              <w:top w:val="double" w:sz="6" w:space="0" w:color="000000"/>
              <w:bottom w:val="double" w:sz="6" w:space="0" w:color="auto"/>
            </w:tcBorders>
          </w:tcPr>
          <w:p w14:paraId="37CFF2DA" w14:textId="22C35F1C" w:rsidR="009C5BCC" w:rsidRPr="00845EB1" w:rsidRDefault="00E25697" w:rsidP="00B11B57">
            <w:pPr>
              <w:jc w:val="center"/>
              <w:rPr>
                <w:b/>
              </w:rPr>
            </w:pPr>
            <w:r w:rsidRPr="00845EB1">
              <w:rPr>
                <w:b/>
              </w:rPr>
              <w:t>Woche</w:t>
            </w:r>
          </w:p>
        </w:tc>
        <w:tc>
          <w:tcPr>
            <w:tcW w:w="8127" w:type="dxa"/>
            <w:tcBorders>
              <w:top w:val="double" w:sz="6" w:space="0" w:color="000000"/>
              <w:bottom w:val="double" w:sz="6" w:space="0" w:color="auto"/>
            </w:tcBorders>
          </w:tcPr>
          <w:p w14:paraId="3FA46059" w14:textId="1DF5813B" w:rsidR="009C5BCC" w:rsidRPr="00845EB1" w:rsidRDefault="009C5BCC" w:rsidP="009C5BCC">
            <w:pPr>
              <w:jc w:val="center"/>
              <w:rPr>
                <w:b/>
              </w:rPr>
            </w:pPr>
            <w:r w:rsidRPr="00845EB1">
              <w:rPr>
                <w:b/>
              </w:rPr>
              <w:t>T</w:t>
            </w:r>
            <w:r w:rsidR="00E25697" w:rsidRPr="00845EB1">
              <w:rPr>
                <w:b/>
              </w:rPr>
              <w:t>hema</w:t>
            </w:r>
          </w:p>
        </w:tc>
      </w:tr>
      <w:tr w:rsidR="00D66F70" w:rsidRPr="00845EB1" w14:paraId="68BAAFB8" w14:textId="77777777" w:rsidTr="00B11B57">
        <w:tc>
          <w:tcPr>
            <w:tcW w:w="1101" w:type="dxa"/>
            <w:tcBorders>
              <w:top w:val="double" w:sz="6" w:space="0" w:color="auto"/>
            </w:tcBorders>
          </w:tcPr>
          <w:p w14:paraId="4AB74D5F" w14:textId="77777777" w:rsidR="00D66F70" w:rsidRPr="00845EB1" w:rsidRDefault="00D66F70" w:rsidP="00D66F70">
            <w:pPr>
              <w:jc w:val="center"/>
            </w:pPr>
            <w:r w:rsidRPr="00845EB1">
              <w:t>1.</w:t>
            </w:r>
          </w:p>
        </w:tc>
        <w:tc>
          <w:tcPr>
            <w:tcW w:w="8127" w:type="dxa"/>
            <w:tcBorders>
              <w:top w:val="double" w:sz="6" w:space="0" w:color="auto"/>
            </w:tcBorders>
          </w:tcPr>
          <w:p w14:paraId="75200708" w14:textId="0B736DC6" w:rsidR="00D66F70" w:rsidRPr="00845EB1" w:rsidRDefault="00D66F70" w:rsidP="00D66F70">
            <w:pPr>
              <w:jc w:val="both"/>
            </w:pPr>
            <w:r w:rsidRPr="0033319F">
              <w:t>Syntax als grammatische Disziplin. Syntaxmodelle. Syntagmatische Relationen. Generative Syntax vs. Dependenzsyntax als theoretische Basis des Kurses.</w:t>
            </w:r>
          </w:p>
        </w:tc>
      </w:tr>
      <w:tr w:rsidR="00D66F70" w:rsidRPr="00845EB1" w14:paraId="3C77151B" w14:textId="77777777" w:rsidTr="00B11B57">
        <w:tc>
          <w:tcPr>
            <w:tcW w:w="1101" w:type="dxa"/>
          </w:tcPr>
          <w:p w14:paraId="5CF422BF" w14:textId="77777777" w:rsidR="00D66F70" w:rsidRPr="00845EB1" w:rsidRDefault="00D66F70" w:rsidP="00D66F70">
            <w:pPr>
              <w:jc w:val="center"/>
            </w:pPr>
            <w:r w:rsidRPr="00845EB1">
              <w:t>2.</w:t>
            </w:r>
          </w:p>
        </w:tc>
        <w:tc>
          <w:tcPr>
            <w:tcW w:w="8127" w:type="dxa"/>
          </w:tcPr>
          <w:p w14:paraId="1CE5F1B9" w14:textId="6647067D" w:rsidR="00D66F70" w:rsidRPr="00845EB1" w:rsidRDefault="00D66F70" w:rsidP="00D66F70">
            <w:pPr>
              <w:jc w:val="both"/>
            </w:pPr>
            <w:r w:rsidRPr="0033319F">
              <w:t>Kontrastive Syntax – was, wie, wozu? Theoretische Basis und Terminologie.</w:t>
            </w:r>
          </w:p>
        </w:tc>
      </w:tr>
      <w:tr w:rsidR="00D66F70" w:rsidRPr="00845EB1" w14:paraId="2DE87E3B" w14:textId="77777777" w:rsidTr="00B11B57">
        <w:tc>
          <w:tcPr>
            <w:tcW w:w="1101" w:type="dxa"/>
          </w:tcPr>
          <w:p w14:paraId="3F7190EA" w14:textId="77777777" w:rsidR="00D66F70" w:rsidRPr="00845EB1" w:rsidRDefault="00D66F70" w:rsidP="00D66F70">
            <w:pPr>
              <w:jc w:val="center"/>
            </w:pPr>
            <w:r w:rsidRPr="00845EB1">
              <w:t>3.</w:t>
            </w:r>
          </w:p>
        </w:tc>
        <w:tc>
          <w:tcPr>
            <w:tcW w:w="8127" w:type="dxa"/>
          </w:tcPr>
          <w:p w14:paraId="02D12E43" w14:textId="1227749A" w:rsidR="00D66F70" w:rsidRPr="00845EB1" w:rsidRDefault="0080797F" w:rsidP="00146CE5">
            <w:pPr>
              <w:jc w:val="both"/>
            </w:pPr>
            <w:r>
              <w:t>Die Satzergänzungen I. Übersicht und kontrastiver Vergleich.</w:t>
            </w:r>
          </w:p>
        </w:tc>
      </w:tr>
      <w:tr w:rsidR="007100A1" w:rsidRPr="00845EB1" w14:paraId="4B131CBD" w14:textId="77777777" w:rsidTr="00B11B57">
        <w:tc>
          <w:tcPr>
            <w:tcW w:w="1101" w:type="dxa"/>
          </w:tcPr>
          <w:p w14:paraId="35791312" w14:textId="2CC94FBF" w:rsidR="007100A1" w:rsidRPr="00845EB1" w:rsidRDefault="007100A1" w:rsidP="00D66F70">
            <w:pPr>
              <w:jc w:val="center"/>
            </w:pPr>
            <w:r>
              <w:t>4.</w:t>
            </w:r>
          </w:p>
        </w:tc>
        <w:tc>
          <w:tcPr>
            <w:tcW w:w="8127" w:type="dxa"/>
          </w:tcPr>
          <w:p w14:paraId="00DD7661" w14:textId="4FCBA21C" w:rsidR="007100A1" w:rsidRPr="0033319F" w:rsidRDefault="0080797F" w:rsidP="00146CE5">
            <w:pPr>
              <w:jc w:val="both"/>
            </w:pPr>
            <w:r>
              <w:t>Die Satzergänzungen II.</w:t>
            </w:r>
          </w:p>
        </w:tc>
      </w:tr>
      <w:tr w:rsidR="007100A1" w:rsidRPr="00845EB1" w14:paraId="207111EC" w14:textId="77777777" w:rsidTr="00B11B57">
        <w:tc>
          <w:tcPr>
            <w:tcW w:w="1101" w:type="dxa"/>
          </w:tcPr>
          <w:p w14:paraId="2E04FADD" w14:textId="7DF901D7" w:rsidR="007100A1" w:rsidRPr="00845EB1" w:rsidRDefault="007100A1" w:rsidP="00D66F70">
            <w:pPr>
              <w:jc w:val="center"/>
            </w:pPr>
            <w:r>
              <w:t>5.</w:t>
            </w:r>
          </w:p>
        </w:tc>
        <w:tc>
          <w:tcPr>
            <w:tcW w:w="8127" w:type="dxa"/>
          </w:tcPr>
          <w:p w14:paraId="1018BF56" w14:textId="7A06B840" w:rsidR="007100A1" w:rsidRPr="0033319F" w:rsidRDefault="007100A1" w:rsidP="00146CE5">
            <w:pPr>
              <w:jc w:val="both"/>
            </w:pPr>
            <w:r>
              <w:t>Die Satzangaben</w:t>
            </w:r>
            <w:r w:rsidR="00D206CC">
              <w:t xml:space="preserve"> I</w:t>
            </w:r>
            <w:r w:rsidR="00146CE5">
              <w:t xml:space="preserve">. </w:t>
            </w:r>
            <w:r>
              <w:t>Übersicht und kontrastiver Vergleich.</w:t>
            </w:r>
          </w:p>
        </w:tc>
      </w:tr>
      <w:tr w:rsidR="00D206CC" w:rsidRPr="00845EB1" w14:paraId="6185A6C6" w14:textId="77777777" w:rsidTr="00B11B57">
        <w:tc>
          <w:tcPr>
            <w:tcW w:w="1101" w:type="dxa"/>
          </w:tcPr>
          <w:p w14:paraId="06D435C8" w14:textId="5F5BD7BD" w:rsidR="00D206CC" w:rsidRDefault="00D206CC" w:rsidP="00D66F70">
            <w:pPr>
              <w:jc w:val="center"/>
            </w:pPr>
            <w:r>
              <w:t>6.</w:t>
            </w:r>
          </w:p>
        </w:tc>
        <w:tc>
          <w:tcPr>
            <w:tcW w:w="8127" w:type="dxa"/>
          </w:tcPr>
          <w:p w14:paraId="161FEAF6" w14:textId="1EED0C17" w:rsidR="00D206CC" w:rsidRDefault="00D206CC" w:rsidP="00146CE5">
            <w:pPr>
              <w:jc w:val="both"/>
            </w:pPr>
            <w:r>
              <w:t>Die Satzangaben II.</w:t>
            </w:r>
          </w:p>
        </w:tc>
      </w:tr>
      <w:tr w:rsidR="00D66F70" w:rsidRPr="00845EB1" w14:paraId="4513BBC6" w14:textId="77777777" w:rsidTr="00B11B57">
        <w:tc>
          <w:tcPr>
            <w:tcW w:w="1101" w:type="dxa"/>
          </w:tcPr>
          <w:p w14:paraId="6BAF0B82" w14:textId="147F8EAC" w:rsidR="00D66F70" w:rsidRPr="00845EB1" w:rsidRDefault="00D206CC" w:rsidP="00D66F70">
            <w:pPr>
              <w:jc w:val="center"/>
            </w:pPr>
            <w:r>
              <w:t>7</w:t>
            </w:r>
            <w:r w:rsidR="00D66F70" w:rsidRPr="00845EB1">
              <w:t>.</w:t>
            </w:r>
          </w:p>
        </w:tc>
        <w:tc>
          <w:tcPr>
            <w:tcW w:w="8127" w:type="dxa"/>
          </w:tcPr>
          <w:p w14:paraId="35597CC1" w14:textId="3A50EC27" w:rsidR="00D66F70" w:rsidRPr="00845EB1" w:rsidRDefault="00D66F70" w:rsidP="00D66F70">
            <w:pPr>
              <w:jc w:val="both"/>
            </w:pPr>
            <w:r w:rsidRPr="0033319F">
              <w:t>Satztopologie: syntaktische Bedingungen</w:t>
            </w:r>
            <w:r>
              <w:t xml:space="preserve">. Satzklammer und Stellungsfelder. </w:t>
            </w:r>
          </w:p>
        </w:tc>
      </w:tr>
      <w:tr w:rsidR="00D66F70" w:rsidRPr="00845EB1" w14:paraId="3DE3777C" w14:textId="77777777" w:rsidTr="00B11B57">
        <w:tc>
          <w:tcPr>
            <w:tcW w:w="1101" w:type="dxa"/>
          </w:tcPr>
          <w:p w14:paraId="4AC8EF86" w14:textId="6731BE9A" w:rsidR="00D66F70" w:rsidRPr="00845EB1" w:rsidRDefault="00D206CC" w:rsidP="00D66F70">
            <w:pPr>
              <w:ind w:left="360"/>
            </w:pPr>
            <w:r>
              <w:t>8</w:t>
            </w:r>
            <w:r w:rsidR="00D66F70" w:rsidRPr="00845EB1">
              <w:t>.</w:t>
            </w:r>
          </w:p>
        </w:tc>
        <w:tc>
          <w:tcPr>
            <w:tcW w:w="8127" w:type="dxa"/>
          </w:tcPr>
          <w:p w14:paraId="1999D740" w14:textId="543F866E" w:rsidR="00D66F70" w:rsidRPr="00845EB1" w:rsidRDefault="00D66F70" w:rsidP="00D66F70">
            <w:pPr>
              <w:jc w:val="both"/>
            </w:pPr>
            <w:r w:rsidRPr="0033319F">
              <w:t>Satztopologie: morphosyntaktische Bedingungen</w:t>
            </w:r>
            <w:r>
              <w:t xml:space="preserve"> (Stellung im Mittelfeld).</w:t>
            </w:r>
          </w:p>
        </w:tc>
      </w:tr>
      <w:tr w:rsidR="00D66F70" w:rsidRPr="00845EB1" w14:paraId="510BC84A" w14:textId="77777777" w:rsidTr="00B11B57">
        <w:tc>
          <w:tcPr>
            <w:tcW w:w="1101" w:type="dxa"/>
          </w:tcPr>
          <w:p w14:paraId="5A6BA397" w14:textId="50EA92F6" w:rsidR="00D66F70" w:rsidRPr="00845EB1" w:rsidRDefault="00D206CC" w:rsidP="00D66F70">
            <w:pPr>
              <w:jc w:val="center"/>
            </w:pPr>
            <w:r>
              <w:t>9</w:t>
            </w:r>
            <w:r w:rsidR="00D66F70" w:rsidRPr="00845EB1">
              <w:t>.</w:t>
            </w:r>
          </w:p>
        </w:tc>
        <w:tc>
          <w:tcPr>
            <w:tcW w:w="8127" w:type="dxa"/>
          </w:tcPr>
          <w:p w14:paraId="6E6FC5FF" w14:textId="5508C544" w:rsidR="00D66F70" w:rsidRPr="00845EB1" w:rsidRDefault="00D66F70" w:rsidP="00D66F70">
            <w:pPr>
              <w:jc w:val="both"/>
            </w:pPr>
            <w:r w:rsidRPr="0033319F">
              <w:t>Satztopologie: kommunikative Bedingungen</w:t>
            </w:r>
            <w:r>
              <w:t>.</w:t>
            </w:r>
            <w:r w:rsidRPr="0033319F">
              <w:t xml:space="preserve"> Thema-Rhema-Gliederung</w:t>
            </w:r>
            <w:r>
              <w:t>, markierte Stellung.</w:t>
            </w:r>
          </w:p>
        </w:tc>
      </w:tr>
      <w:tr w:rsidR="00D66F70" w:rsidRPr="00845EB1" w14:paraId="6557CB29" w14:textId="77777777" w:rsidTr="00B11B57">
        <w:tc>
          <w:tcPr>
            <w:tcW w:w="1101" w:type="dxa"/>
          </w:tcPr>
          <w:p w14:paraId="4B3F78A0" w14:textId="040DBFDB" w:rsidR="00D66F70" w:rsidRPr="00845EB1" w:rsidRDefault="00D206CC" w:rsidP="00D66F70">
            <w:pPr>
              <w:jc w:val="center"/>
            </w:pPr>
            <w:r>
              <w:t>10</w:t>
            </w:r>
            <w:r w:rsidR="00D66F70" w:rsidRPr="00845EB1">
              <w:t>.</w:t>
            </w:r>
          </w:p>
        </w:tc>
        <w:tc>
          <w:tcPr>
            <w:tcW w:w="8127" w:type="dxa"/>
          </w:tcPr>
          <w:p w14:paraId="5D035EC6" w14:textId="61A53EF0" w:rsidR="00D66F70" w:rsidRPr="00845EB1" w:rsidRDefault="00D66F70" w:rsidP="00D66F70">
            <w:pPr>
              <w:jc w:val="both"/>
            </w:pPr>
            <w:r w:rsidRPr="0033319F">
              <w:t>Nominalphrase: Wesen, dependenzielle und topologische Struktur</w:t>
            </w:r>
            <w:r>
              <w:t>.</w:t>
            </w:r>
          </w:p>
        </w:tc>
      </w:tr>
      <w:tr w:rsidR="00D66F70" w:rsidRPr="00845EB1" w14:paraId="3CD0E021" w14:textId="77777777" w:rsidTr="00B11B57">
        <w:tc>
          <w:tcPr>
            <w:tcW w:w="1101" w:type="dxa"/>
          </w:tcPr>
          <w:p w14:paraId="260140AD" w14:textId="14231BED" w:rsidR="00D66F70" w:rsidRDefault="00D206CC" w:rsidP="00D66F70">
            <w:pPr>
              <w:jc w:val="center"/>
            </w:pPr>
            <w:r>
              <w:t>11</w:t>
            </w:r>
            <w:r w:rsidR="00D66F70">
              <w:t>.</w:t>
            </w:r>
          </w:p>
        </w:tc>
        <w:tc>
          <w:tcPr>
            <w:tcW w:w="8127" w:type="dxa"/>
          </w:tcPr>
          <w:p w14:paraId="191B0664" w14:textId="05F7DF8D" w:rsidR="00D66F70" w:rsidRPr="0033319F" w:rsidRDefault="004B405E" w:rsidP="004B405E">
            <w:pPr>
              <w:jc w:val="both"/>
            </w:pPr>
            <w:r>
              <w:t>Attribute der Nominalphrase in dt.-ung. Vergleich.</w:t>
            </w:r>
          </w:p>
        </w:tc>
      </w:tr>
      <w:tr w:rsidR="00D66F70" w:rsidRPr="00845EB1" w14:paraId="045BC369" w14:textId="77777777" w:rsidTr="00B11B57">
        <w:tc>
          <w:tcPr>
            <w:tcW w:w="1101" w:type="dxa"/>
          </w:tcPr>
          <w:p w14:paraId="7419E00C" w14:textId="028C8FDF" w:rsidR="00D66F70" w:rsidRPr="00845EB1" w:rsidRDefault="00D206CC" w:rsidP="00D66F70">
            <w:pPr>
              <w:jc w:val="center"/>
            </w:pPr>
            <w:r>
              <w:t>12</w:t>
            </w:r>
            <w:r w:rsidR="00D66F70" w:rsidRPr="00845EB1">
              <w:t>.</w:t>
            </w:r>
          </w:p>
        </w:tc>
        <w:tc>
          <w:tcPr>
            <w:tcW w:w="8127" w:type="dxa"/>
          </w:tcPr>
          <w:p w14:paraId="1FB52BBD" w14:textId="36943060" w:rsidR="00D66F70" w:rsidRPr="00845EB1" w:rsidRDefault="00D66F70" w:rsidP="00D66F70">
            <w:pPr>
              <w:jc w:val="both"/>
            </w:pPr>
            <w:r w:rsidRPr="0033319F">
              <w:t>Topologie der NomP: ein kontrastiver Vergleich.</w:t>
            </w:r>
          </w:p>
        </w:tc>
      </w:tr>
      <w:tr w:rsidR="00D66F70" w:rsidRPr="00845EB1" w14:paraId="7BEA6799" w14:textId="77777777" w:rsidTr="00B11B57">
        <w:tc>
          <w:tcPr>
            <w:tcW w:w="1101" w:type="dxa"/>
          </w:tcPr>
          <w:p w14:paraId="43BEC9FB" w14:textId="4BF2E6AF" w:rsidR="00D66F70" w:rsidRPr="00845EB1" w:rsidRDefault="00D206CC" w:rsidP="00D66F70">
            <w:pPr>
              <w:jc w:val="center"/>
            </w:pPr>
            <w:r>
              <w:t>13</w:t>
            </w:r>
            <w:r w:rsidR="00D66F70" w:rsidRPr="00845EB1">
              <w:t>.</w:t>
            </w:r>
          </w:p>
        </w:tc>
        <w:tc>
          <w:tcPr>
            <w:tcW w:w="8127" w:type="dxa"/>
          </w:tcPr>
          <w:p w14:paraId="095779DA" w14:textId="124C5335" w:rsidR="00D66F70" w:rsidRPr="00845EB1" w:rsidRDefault="00D66F70" w:rsidP="007100A1">
            <w:pPr>
              <w:jc w:val="both"/>
            </w:pPr>
            <w:r w:rsidRPr="0033319F">
              <w:t xml:space="preserve">Komplexe Sätze und ihre </w:t>
            </w:r>
            <w:r w:rsidR="007100A1">
              <w:t>Klassifizierung</w:t>
            </w:r>
            <w:r w:rsidRPr="0033319F">
              <w:t>.</w:t>
            </w:r>
          </w:p>
        </w:tc>
      </w:tr>
      <w:tr w:rsidR="00D66F70" w:rsidRPr="00845EB1" w14:paraId="722970E8" w14:textId="77777777" w:rsidTr="00B11B57">
        <w:tc>
          <w:tcPr>
            <w:tcW w:w="1101" w:type="dxa"/>
          </w:tcPr>
          <w:p w14:paraId="60EC9A6C" w14:textId="3060B22B" w:rsidR="00D66F70" w:rsidRPr="00845EB1" w:rsidRDefault="00D66F70" w:rsidP="00D66F70">
            <w:pPr>
              <w:jc w:val="center"/>
            </w:pPr>
          </w:p>
        </w:tc>
        <w:tc>
          <w:tcPr>
            <w:tcW w:w="8127" w:type="dxa"/>
          </w:tcPr>
          <w:p w14:paraId="6FED0017" w14:textId="6DCB6EA5" w:rsidR="00D66F70" w:rsidRPr="007751A7" w:rsidRDefault="00D66F70" w:rsidP="00D66F70">
            <w:pPr>
              <w:jc w:val="both"/>
            </w:pPr>
          </w:p>
        </w:tc>
      </w:tr>
      <w:tr w:rsidR="00D66F70" w:rsidRPr="00845EB1" w14:paraId="381395B2" w14:textId="77777777" w:rsidTr="00B11B57">
        <w:tc>
          <w:tcPr>
            <w:tcW w:w="1101" w:type="dxa"/>
          </w:tcPr>
          <w:p w14:paraId="3ADD6C8B" w14:textId="79D815B6" w:rsidR="00D66F70" w:rsidRPr="00845EB1" w:rsidRDefault="00D66F70" w:rsidP="00D66F70">
            <w:pPr>
              <w:jc w:val="center"/>
            </w:pPr>
          </w:p>
        </w:tc>
        <w:tc>
          <w:tcPr>
            <w:tcW w:w="8127" w:type="dxa"/>
          </w:tcPr>
          <w:p w14:paraId="5B99D880" w14:textId="089FE9C6" w:rsidR="00D66F70" w:rsidRPr="00845EB1" w:rsidRDefault="00D66F70" w:rsidP="00E948E0">
            <w:pPr>
              <w:jc w:val="both"/>
            </w:pPr>
          </w:p>
        </w:tc>
      </w:tr>
    </w:tbl>
    <w:p w14:paraId="739496A7" w14:textId="2D8618E4" w:rsidR="009C5BCC" w:rsidRPr="00845EB1" w:rsidRDefault="00E25697" w:rsidP="009C5BCC">
      <w:pPr>
        <w:rPr>
          <w:b/>
        </w:rPr>
      </w:pPr>
      <w:r w:rsidRPr="00845EB1">
        <w:rPr>
          <w:b/>
        </w:rPr>
        <w:t>Pflichtlektüre:</w:t>
      </w:r>
    </w:p>
    <w:p w14:paraId="144126D8" w14:textId="5F3DEDA6" w:rsidR="005079B3" w:rsidRPr="005079B3" w:rsidRDefault="005079B3" w:rsidP="005079B3">
      <w:pPr>
        <w:jc w:val="both"/>
      </w:pPr>
      <w:proofErr w:type="spellStart"/>
      <w:r w:rsidRPr="005079B3">
        <w:t>Pilarský</w:t>
      </w:r>
      <w:proofErr w:type="spellEnd"/>
      <w:r w:rsidRPr="005079B3">
        <w:t>, J.</w:t>
      </w:r>
      <w:r w:rsidR="00BE4AA9">
        <w:t xml:space="preserve"> (</w:t>
      </w:r>
      <w:r w:rsidR="00135A1C">
        <w:t xml:space="preserve">Hrsg., </w:t>
      </w:r>
      <w:r w:rsidR="00BE4AA9">
        <w:t>2013).</w:t>
      </w:r>
      <w:r w:rsidRPr="005079B3">
        <w:t xml:space="preserve"> </w:t>
      </w:r>
      <w:r w:rsidRPr="00770AB2">
        <w:rPr>
          <w:i/>
        </w:rPr>
        <w:t>Deutsch-ungarische kontrastive Grammatik.</w:t>
      </w:r>
      <w:r>
        <w:t xml:space="preserve"> Band </w:t>
      </w:r>
      <w:r w:rsidR="007100A1">
        <w:t>1</w:t>
      </w:r>
      <w:r>
        <w:t xml:space="preserve">. Debrecen: Kossuth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Kiadó</w:t>
      </w:r>
      <w:proofErr w:type="spellEnd"/>
      <w:r>
        <w:t>.</w:t>
      </w:r>
    </w:p>
    <w:p w14:paraId="760AEC30" w14:textId="1886A3D1" w:rsidR="009C5BCC" w:rsidRDefault="00E25697" w:rsidP="009C5BCC">
      <w:pPr>
        <w:rPr>
          <w:b/>
        </w:rPr>
      </w:pPr>
      <w:r w:rsidRPr="00845EB1">
        <w:rPr>
          <w:b/>
        </w:rPr>
        <w:t>Fakultative Lektüre:</w:t>
      </w:r>
    </w:p>
    <w:p w14:paraId="347D261E" w14:textId="77777777" w:rsidR="00B738CF" w:rsidRDefault="00B738CF" w:rsidP="00EB4177">
      <w:pPr>
        <w:ind w:left="426" w:hanging="426"/>
        <w:jc w:val="both"/>
      </w:pPr>
      <w:r w:rsidRPr="00C2367C">
        <w:t>Engel, Ulrich (2004</w:t>
      </w:r>
      <w:r>
        <w:t>, 2., durchgesehene Auflage 2009</w:t>
      </w:r>
      <w:r w:rsidRPr="00C2367C">
        <w:t xml:space="preserve">): </w:t>
      </w:r>
      <w:r w:rsidRPr="00925BAE">
        <w:rPr>
          <w:i/>
        </w:rPr>
        <w:t>Deutsche Grammatik.</w:t>
      </w:r>
      <w:r w:rsidRPr="00C2367C">
        <w:t xml:space="preserve"> Neubearbeitung. München: IUDICIUM Verlag GmbH.</w:t>
      </w:r>
    </w:p>
    <w:p w14:paraId="402C2C82" w14:textId="77777777" w:rsidR="00B738CF" w:rsidRPr="00EB4177" w:rsidRDefault="00B738CF" w:rsidP="00EB4177">
      <w:pPr>
        <w:ind w:left="426" w:hanging="426"/>
        <w:jc w:val="both"/>
        <w:rPr>
          <w:lang w:val="hu-HU"/>
        </w:rPr>
      </w:pPr>
      <w:proofErr w:type="spellStart"/>
      <w:r w:rsidRPr="00EB4177">
        <w:rPr>
          <w:lang w:val="hu-HU"/>
        </w:rPr>
        <w:t>Kessler</w:t>
      </w:r>
      <w:proofErr w:type="spellEnd"/>
      <w:r w:rsidRPr="00EB4177">
        <w:rPr>
          <w:lang w:val="hu-HU"/>
        </w:rPr>
        <w:t xml:space="preserve">, Borbála (2000, </w:t>
      </w:r>
      <w:proofErr w:type="spellStart"/>
      <w:r w:rsidRPr="00EB4177">
        <w:rPr>
          <w:lang w:val="hu-HU"/>
        </w:rPr>
        <w:t>Hrsg</w:t>
      </w:r>
      <w:proofErr w:type="spellEnd"/>
      <w:r w:rsidRPr="00EB4177">
        <w:rPr>
          <w:lang w:val="hu-HU"/>
        </w:rPr>
        <w:t xml:space="preserve">.): </w:t>
      </w:r>
      <w:r w:rsidRPr="00EB4177">
        <w:rPr>
          <w:i/>
          <w:lang w:val="hu-HU"/>
        </w:rPr>
        <w:t xml:space="preserve">Magyar grammatika. </w:t>
      </w:r>
      <w:r w:rsidRPr="00EB4177">
        <w:rPr>
          <w:lang w:val="hu-HU"/>
        </w:rPr>
        <w:t>Budapest: Nemzeti Tankönyvkiadó.</w:t>
      </w:r>
    </w:p>
    <w:p w14:paraId="79B4485F" w14:textId="77777777" w:rsidR="00B738CF" w:rsidRPr="00EB4177" w:rsidRDefault="00B738CF" w:rsidP="00EB4177">
      <w:pPr>
        <w:ind w:left="426" w:hanging="426"/>
        <w:jc w:val="both"/>
        <w:rPr>
          <w:lang w:val="hu-HU"/>
        </w:rPr>
      </w:pPr>
      <w:proofErr w:type="spellStart"/>
      <w:r w:rsidRPr="00EB4177">
        <w:rPr>
          <w:lang w:val="hu-HU"/>
        </w:rPr>
        <w:t>Kiefer</w:t>
      </w:r>
      <w:proofErr w:type="spellEnd"/>
      <w:r w:rsidRPr="00EB4177">
        <w:rPr>
          <w:lang w:val="hu-HU"/>
        </w:rPr>
        <w:t xml:space="preserve">, Ferenc (1999): Alaktan. In: É. Kiss, Katalin / </w:t>
      </w:r>
      <w:proofErr w:type="spellStart"/>
      <w:r w:rsidRPr="00EB4177">
        <w:rPr>
          <w:lang w:val="hu-HU"/>
        </w:rPr>
        <w:t>Kiefer</w:t>
      </w:r>
      <w:proofErr w:type="spellEnd"/>
      <w:r w:rsidRPr="00EB4177">
        <w:rPr>
          <w:lang w:val="hu-HU"/>
        </w:rPr>
        <w:t xml:space="preserve">, Ferenc / </w:t>
      </w:r>
      <w:proofErr w:type="spellStart"/>
      <w:r w:rsidRPr="00EB4177">
        <w:rPr>
          <w:lang w:val="hu-HU"/>
        </w:rPr>
        <w:t>Siptár</w:t>
      </w:r>
      <w:proofErr w:type="spellEnd"/>
      <w:r w:rsidRPr="00EB4177">
        <w:rPr>
          <w:lang w:val="hu-HU"/>
        </w:rPr>
        <w:t>, Péter (</w:t>
      </w:r>
      <w:proofErr w:type="spellStart"/>
      <w:r w:rsidRPr="00EB4177">
        <w:rPr>
          <w:lang w:val="hu-HU"/>
        </w:rPr>
        <w:t>Hrsg</w:t>
      </w:r>
      <w:proofErr w:type="spellEnd"/>
      <w:r w:rsidRPr="00EB4177">
        <w:rPr>
          <w:lang w:val="hu-HU"/>
        </w:rPr>
        <w:t xml:space="preserve">.): </w:t>
      </w:r>
      <w:r w:rsidRPr="00EB4177">
        <w:rPr>
          <w:i/>
          <w:iCs/>
          <w:lang w:val="hu-HU"/>
        </w:rPr>
        <w:t>Új magyar nyelvtan</w:t>
      </w:r>
      <w:r w:rsidRPr="00EB4177">
        <w:rPr>
          <w:lang w:val="hu-HU"/>
        </w:rPr>
        <w:t>, 185-290. Budapest: Osiris Kiadó.</w:t>
      </w:r>
    </w:p>
    <w:p w14:paraId="144959DA" w14:textId="77777777" w:rsidR="00B738CF" w:rsidRPr="00EB4177" w:rsidRDefault="00B738CF" w:rsidP="00EB4177">
      <w:pPr>
        <w:ind w:left="426" w:hanging="426"/>
        <w:jc w:val="both"/>
        <w:rPr>
          <w:lang w:val="hu-HU"/>
        </w:rPr>
      </w:pPr>
      <w:proofErr w:type="spellStart"/>
      <w:r w:rsidRPr="00EB4177">
        <w:rPr>
          <w:lang w:val="hu-HU"/>
        </w:rPr>
        <w:t>Kiefer</w:t>
      </w:r>
      <w:proofErr w:type="spellEnd"/>
      <w:r w:rsidRPr="00EB4177">
        <w:rPr>
          <w:lang w:val="hu-HU"/>
        </w:rPr>
        <w:t xml:space="preserve">, Ferenc (2000, </w:t>
      </w:r>
      <w:proofErr w:type="spellStart"/>
      <w:r w:rsidRPr="00EB4177">
        <w:rPr>
          <w:lang w:val="hu-HU"/>
        </w:rPr>
        <w:t>Hrsg</w:t>
      </w:r>
      <w:proofErr w:type="spellEnd"/>
      <w:r w:rsidRPr="00EB4177">
        <w:rPr>
          <w:lang w:val="hu-HU"/>
        </w:rPr>
        <w:t xml:space="preserve">.): </w:t>
      </w:r>
      <w:r w:rsidRPr="00EB4177">
        <w:rPr>
          <w:i/>
          <w:lang w:val="hu-HU"/>
        </w:rPr>
        <w:t>Strukturális magyar nyelvtan. 3. kötet: Morfológia.</w:t>
      </w:r>
      <w:r w:rsidRPr="00EB4177">
        <w:rPr>
          <w:lang w:val="hu-HU"/>
        </w:rPr>
        <w:t xml:space="preserve"> Budapest: Akadémiai Kiadó.</w:t>
      </w:r>
    </w:p>
    <w:p w14:paraId="4E7791BC" w14:textId="347C8127" w:rsidR="005079B3" w:rsidRPr="00B738CF" w:rsidRDefault="00B738CF" w:rsidP="00EB4177">
      <w:pPr>
        <w:ind w:left="426" w:hanging="426"/>
        <w:jc w:val="both"/>
        <w:rPr>
          <w:iCs/>
        </w:rPr>
      </w:pPr>
      <w:r w:rsidRPr="00925BAE">
        <w:rPr>
          <w:iCs/>
        </w:rPr>
        <w:t xml:space="preserve">Zifonun, Gisela / Hoffmann, Ludger / Strecker, Bruno (1997). </w:t>
      </w:r>
      <w:r w:rsidRPr="00925BAE">
        <w:rPr>
          <w:i/>
        </w:rPr>
        <w:t xml:space="preserve">Grammatik der deutschen Sprache. </w:t>
      </w:r>
      <w:r w:rsidRPr="00925BAE">
        <w:rPr>
          <w:iCs/>
        </w:rPr>
        <w:t>Berlin – New York: Walter de Gruyter.</w:t>
      </w:r>
    </w:p>
    <w:sectPr w:rsidR="005079B3" w:rsidRPr="00B738CF" w:rsidSect="00A669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5B6A"/>
    <w:multiLevelType w:val="hybridMultilevel"/>
    <w:tmpl w:val="75606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9"/>
    <w:rsid w:val="000C5C94"/>
    <w:rsid w:val="00121DDE"/>
    <w:rsid w:val="00135A1C"/>
    <w:rsid w:val="00146CE5"/>
    <w:rsid w:val="00164D97"/>
    <w:rsid w:val="001867E4"/>
    <w:rsid w:val="001D5A81"/>
    <w:rsid w:val="00200372"/>
    <w:rsid w:val="002616E7"/>
    <w:rsid w:val="00263D5F"/>
    <w:rsid w:val="002C11CD"/>
    <w:rsid w:val="0032433A"/>
    <w:rsid w:val="00326067"/>
    <w:rsid w:val="00327AC0"/>
    <w:rsid w:val="003357E3"/>
    <w:rsid w:val="00387BAB"/>
    <w:rsid w:val="0042504F"/>
    <w:rsid w:val="00465EDE"/>
    <w:rsid w:val="004B405E"/>
    <w:rsid w:val="005079B3"/>
    <w:rsid w:val="006A0D75"/>
    <w:rsid w:val="006E40DB"/>
    <w:rsid w:val="00705504"/>
    <w:rsid w:val="007100A1"/>
    <w:rsid w:val="00723398"/>
    <w:rsid w:val="00744D37"/>
    <w:rsid w:val="00746D32"/>
    <w:rsid w:val="00770AB2"/>
    <w:rsid w:val="007751A7"/>
    <w:rsid w:val="007802FC"/>
    <w:rsid w:val="0080797F"/>
    <w:rsid w:val="008406F4"/>
    <w:rsid w:val="00845EB1"/>
    <w:rsid w:val="008C0C76"/>
    <w:rsid w:val="00956E79"/>
    <w:rsid w:val="009C5BCC"/>
    <w:rsid w:val="00A57DD2"/>
    <w:rsid w:val="00A6693C"/>
    <w:rsid w:val="00A67B60"/>
    <w:rsid w:val="00A708EF"/>
    <w:rsid w:val="00AA1F4F"/>
    <w:rsid w:val="00B11B57"/>
    <w:rsid w:val="00B14524"/>
    <w:rsid w:val="00B35BA3"/>
    <w:rsid w:val="00B738CF"/>
    <w:rsid w:val="00BB0106"/>
    <w:rsid w:val="00BC66F0"/>
    <w:rsid w:val="00BE4AA9"/>
    <w:rsid w:val="00C206D0"/>
    <w:rsid w:val="00C309CD"/>
    <w:rsid w:val="00C46404"/>
    <w:rsid w:val="00C679DC"/>
    <w:rsid w:val="00C904B3"/>
    <w:rsid w:val="00CE0DB7"/>
    <w:rsid w:val="00D206CC"/>
    <w:rsid w:val="00D66F70"/>
    <w:rsid w:val="00DA150D"/>
    <w:rsid w:val="00E25697"/>
    <w:rsid w:val="00E948E0"/>
    <w:rsid w:val="00EA09E1"/>
    <w:rsid w:val="00EB4177"/>
    <w:rsid w:val="00F532FC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F6A89"/>
  <w15:docId w15:val="{DF05310E-7D9D-41E2-8231-40564DB0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E79"/>
    <w:rPr>
      <w:rFonts w:eastAsia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956E79"/>
    <w:pPr>
      <w:keepNext/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Cmsor3">
    <w:name w:val="heading 3"/>
    <w:basedOn w:val="Norml"/>
    <w:next w:val="Norml"/>
    <w:link w:val="Cmsor3Char"/>
    <w:qFormat/>
    <w:rsid w:val="00956E79"/>
    <w:pPr>
      <w:keepNext/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Century Schoolbook" w:hAnsi="Century Schoolbook"/>
      <w:sz w:val="28"/>
      <w:szCs w:val="20"/>
      <w:lang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56E7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Cmsor3Char">
    <w:name w:val="Címsor 3 Char"/>
    <w:basedOn w:val="Bekezdsalapbettpusa"/>
    <w:link w:val="Cmsor3"/>
    <w:rsid w:val="00956E79"/>
    <w:rPr>
      <w:rFonts w:ascii="Century Schoolbook" w:eastAsia="Times New Roman" w:hAnsi="Century Schoolbook" w:cs="Times New Roman"/>
      <w:sz w:val="28"/>
      <w:szCs w:val="20"/>
      <w:lang w:eastAsia="cs-CZ"/>
    </w:rPr>
  </w:style>
  <w:style w:type="character" w:styleId="Hiperhivatkozs">
    <w:name w:val="Hyperlink"/>
    <w:rsid w:val="00956E79"/>
    <w:rPr>
      <w:color w:val="0000FF"/>
      <w:u w:val="single"/>
    </w:rPr>
  </w:style>
  <w:style w:type="paragraph" w:styleId="Szvegtrzs">
    <w:name w:val="Body Text"/>
    <w:basedOn w:val="Norml"/>
    <w:link w:val="SzvegtrzsChar"/>
    <w:rsid w:val="00956E79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</w:pPr>
    <w:rPr>
      <w:rFonts w:ascii="Century Schoolbook" w:hAnsi="Century Schoolbook"/>
      <w:sz w:val="20"/>
      <w:szCs w:val="20"/>
      <w:lang w:eastAsia="cs-CZ"/>
    </w:rPr>
  </w:style>
  <w:style w:type="character" w:customStyle="1" w:styleId="SzvegtrzsChar">
    <w:name w:val="Szövegtörzs Char"/>
    <w:basedOn w:val="Bekezdsalapbettpusa"/>
    <w:link w:val="Szvegtrzs"/>
    <w:rsid w:val="00956E79"/>
    <w:rPr>
      <w:rFonts w:ascii="Century Schoolbook" w:eastAsia="Times New Roman" w:hAnsi="Century Schoolbook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2023-03-06T10:05:00Z</dcterms:created>
  <dcterms:modified xsi:type="dcterms:W3CDTF">2023-03-06T10:05:00Z</dcterms:modified>
</cp:coreProperties>
</file>