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CB" w:rsidRPr="008A2386" w:rsidRDefault="009B4ECB" w:rsidP="009B4ECB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2"/>
        <w:gridCol w:w="2176"/>
      </w:tblGrid>
      <w:tr w:rsidR="009B4ECB" w:rsidRPr="008A2386" w:rsidTr="00D84313"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jc w:val="both"/>
            </w:pPr>
            <w:r>
              <w:rPr>
                <w:b/>
              </w:rPr>
              <w:t>(48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</w:t>
            </w:r>
            <w:r w:rsidRPr="00A56D9D">
              <w:rPr>
                <w:b/>
              </w:rPr>
              <w:t>Projektmenedzsment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9B4ECB" w:rsidRPr="008A2386" w:rsidTr="00D8431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</w:p>
        </w:tc>
      </w:tr>
      <w:tr w:rsidR="009B4ECB" w:rsidRPr="008A2386" w:rsidTr="00D8431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 w:frame="1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9B4ECB" w:rsidRPr="008A2386" w:rsidTr="00D8431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</w:t>
            </w:r>
            <w:proofErr w:type="spellStart"/>
            <w:r w:rsidRPr="008A2386">
              <w:t>ea</w:t>
            </w:r>
            <w:proofErr w:type="spellEnd"/>
            <w:r w:rsidRPr="008A2386">
              <w:t xml:space="preserve">. / szem. / </w:t>
            </w:r>
            <w:proofErr w:type="spellStart"/>
            <w:r w:rsidRPr="008A2386">
              <w:rPr>
                <w:u w:val="single"/>
              </w:rPr>
              <w:t>gyak</w:t>
            </w:r>
            <w:proofErr w:type="spellEnd"/>
            <w:r w:rsidRPr="008A2386">
              <w:t xml:space="preserve">. / </w:t>
            </w:r>
            <w:proofErr w:type="spellStart"/>
            <w:r w:rsidRPr="008A2386">
              <w:t>konz</w:t>
            </w:r>
            <w:proofErr w:type="spellEnd"/>
            <w:r w:rsidRPr="008A2386">
              <w:t xml:space="preserve">.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20358">
              <w:t>2 ó /hét</w:t>
            </w:r>
            <w:r>
              <w:rPr>
                <w:b/>
              </w:rPr>
              <w:t xml:space="preserve"> 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</w:pPr>
          </w:p>
        </w:tc>
      </w:tr>
      <w:tr w:rsidR="009B4ECB" w:rsidRPr="008A2386" w:rsidTr="00D84313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 xml:space="preserve">számonkérés </w:t>
            </w:r>
            <w:r>
              <w:t>módja</w:t>
            </w:r>
            <w:r w:rsidRPr="008A2386">
              <w:t xml:space="preserve">: </w:t>
            </w:r>
            <w:r w:rsidRPr="00D20358">
              <w:t>gyakorlati jegy</w:t>
            </w:r>
          </w:p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</w:tbl>
    <w:p w:rsidR="009B4ECB" w:rsidRPr="008A2386" w:rsidRDefault="009B4ECB" w:rsidP="009B4ECB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B4ECB" w:rsidRPr="008A2386" w:rsidTr="00D84313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B4ECB" w:rsidRPr="008A2386" w:rsidTr="00D84313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B4ECB" w:rsidRPr="008A2386" w:rsidRDefault="009B4ECB" w:rsidP="00E0296E">
            <w:pPr>
              <w:jc w:val="both"/>
            </w:pPr>
            <w:r w:rsidRPr="008A2386">
              <w:t xml:space="preserve">Ez a projekt jellegű szeminárium a német nyelvű kultúra magyarországi bemutatására hivatott, azon belül is Debrecen városhoz kötődő rendezvények szervezésére készíti fel a hallgatókat. A szeminárium résztvevői egyrészt olyan nagy múltú, évente megrendezésre kerülő és a német nyelvterületről érkező meghívottakat is felvonultató </w:t>
            </w:r>
            <w:proofErr w:type="gramStart"/>
            <w:r w:rsidRPr="008A2386">
              <w:t>fesztiválok</w:t>
            </w:r>
            <w:proofErr w:type="gramEnd"/>
            <w:r w:rsidRPr="008A2386">
              <w:t xml:space="preserve"> ill. programok szervezésében és lebonyolításában működnek közre, mint pl. a Debreceni Tavaszi Fesztivál, a Bartók Kórusfesztivál vagy a Debreceni Jazz Napok, másrészt színesíthetik a város kulturális életét új rendezvények meghonosításával, mint pl. német filmnapok, a Kortárs Drámafesztivál német előadásainak debreceni bemutatója vagy a debreceni Német Kulturális Fórum számára szervezett programok. Bekapcsolódnak a </w:t>
            </w:r>
            <w:proofErr w:type="spellStart"/>
            <w:r w:rsidRPr="008A2386">
              <w:t>Debrecen-Paderborn</w:t>
            </w:r>
            <w:proofErr w:type="spellEnd"/>
            <w:r w:rsidRPr="008A2386">
              <w:t xml:space="preserve"> közötti testvérvárosi kapcsolat ápolásába, színvonalas germanisztikai intézeti hetet rendeznek, és rendszeresen együttműködnek a Bosch Alapítványtól érkező kulturális menedzserrel.</w:t>
            </w:r>
          </w:p>
          <w:p w:rsidR="009B4ECB" w:rsidRPr="008A2386" w:rsidRDefault="009B4ECB" w:rsidP="00E0296E">
            <w:pPr>
              <w:jc w:val="both"/>
            </w:pPr>
            <w:r w:rsidRPr="008A2386">
              <w:t xml:space="preserve">A szemináriumi előkészítés folyamán olyan gyakorlati ismereteket sajátítanak el, mint a koncepció megtervezése, kapcsolatfelvétel, levelezés bonyolítása, anyagi fedezet előteremtése, pályázatírás, közönségszervezés stb. </w:t>
            </w:r>
            <w:proofErr w:type="gramStart"/>
            <w:r w:rsidRPr="008A2386">
              <w:t>A</w:t>
            </w:r>
            <w:proofErr w:type="gramEnd"/>
            <w:r w:rsidRPr="008A2386">
              <w:t xml:space="preserve"> képzés támaszkodni kíván a korábbi tanulmányok során (ld. médiaismeretek, kulturális ismeretek, stílusgyakorlat, </w:t>
            </w:r>
            <w:proofErr w:type="spellStart"/>
            <w:r w:rsidRPr="008A2386">
              <w:t>országismeret</w:t>
            </w:r>
            <w:proofErr w:type="spellEnd"/>
            <w:r w:rsidRPr="008A2386">
              <w:t>, szövegtípusok stb.) elsajátított készségekre és tudásra, amellyel mindenek előtt a germanisztika szakos hallgatók rendelkeznek. A félév a részprojekt lebonyolításával és a végzett munkát bemutató írásbeli beszámolóval zárul.</w:t>
            </w:r>
          </w:p>
        </w:tc>
      </w:tr>
      <w:tr w:rsidR="009B4ECB" w:rsidRPr="008A2386" w:rsidTr="00D84313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B4ECB" w:rsidRPr="008A2386" w:rsidRDefault="009B4ECB" w:rsidP="00E0296E">
            <w:pPr>
              <w:suppressAutoHyphens/>
              <w:ind w:right="-108"/>
              <w:rPr>
                <w:b/>
              </w:rPr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r w:rsidRPr="008A2386">
              <w:rPr>
                <w:i/>
              </w:rPr>
              <w:t>ajánlott</w:t>
            </w:r>
            <w:r w:rsidRPr="008A2386">
              <w:rPr>
                <w:b/>
                <w:i/>
              </w:rPr>
              <w:t xml:space="preserve"> </w:t>
            </w:r>
            <w:r w:rsidRPr="008A2386">
              <w:rPr>
                <w:b/>
              </w:rPr>
              <w:t xml:space="preserve">irodalom </w:t>
            </w:r>
            <w:r w:rsidRPr="008A2386">
              <w:t>(jegyzet, tankönyv) felsorolása bibliográfiai adatokkal (szerző, cím, kiadás adatai, (esetleg oldalak), ISBN)</w:t>
            </w:r>
          </w:p>
        </w:tc>
      </w:tr>
      <w:tr w:rsidR="009B4ECB" w:rsidRPr="008A2386" w:rsidTr="00D84313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9B4ECB" w:rsidRPr="008A2386" w:rsidRDefault="009B4ECB" w:rsidP="00E0296E">
            <w:pPr>
              <w:ind w:right="253"/>
            </w:pPr>
            <w:r w:rsidRPr="008A2386">
              <w:t>Gyarmati Ildikó, Rendezvényszervező kézikönyv, Szókratész, Budapest, 2001</w:t>
            </w:r>
          </w:p>
          <w:p w:rsidR="009B4ECB" w:rsidRPr="008A2386" w:rsidRDefault="009B4ECB" w:rsidP="00E0296E">
            <w:pPr>
              <w:ind w:right="253"/>
            </w:pPr>
            <w:proofErr w:type="spellStart"/>
            <w:r w:rsidRPr="008A2386">
              <w:t>Flamm</w:t>
            </w:r>
            <w:proofErr w:type="spellEnd"/>
            <w:r w:rsidRPr="008A2386">
              <w:t xml:space="preserve"> Benedek László (Szerk.), Kulcs a sikeres EU-pályázatokhoz, Európai Unió Munkacsoport, Budapest, 2002</w:t>
            </w:r>
          </w:p>
          <w:p w:rsidR="009B4ECB" w:rsidRPr="008A2386" w:rsidRDefault="009B4ECB" w:rsidP="00E0296E">
            <w:r w:rsidRPr="008A2386">
              <w:t xml:space="preserve">Philip </w:t>
            </w:r>
            <w:proofErr w:type="spellStart"/>
            <w:r w:rsidRPr="008A2386">
              <w:t>Kotler</w:t>
            </w:r>
            <w:proofErr w:type="spellEnd"/>
            <w:r w:rsidRPr="008A2386">
              <w:t>, Marketing menedzsment. Elemzés, tervezés, végrehajtás és ellenőrzés, Műszaki Könyvkiadó, Budapest, 2002</w:t>
            </w:r>
          </w:p>
        </w:tc>
      </w:tr>
    </w:tbl>
    <w:p w:rsidR="00D509F8" w:rsidRDefault="009B4ECB" w:rsidP="009B4ECB">
      <w:r w:rsidRPr="008A2386">
        <w:rPr>
          <w:b/>
        </w:rPr>
        <w:br w:type="page"/>
      </w:r>
    </w:p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30" w:rsidRDefault="00111D30" w:rsidP="009B4ECB">
      <w:r>
        <w:separator/>
      </w:r>
    </w:p>
  </w:endnote>
  <w:endnote w:type="continuationSeparator" w:id="0">
    <w:p w:rsidR="00111D30" w:rsidRDefault="00111D30" w:rsidP="009B4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30" w:rsidRDefault="00111D30" w:rsidP="009B4ECB">
      <w:r>
        <w:separator/>
      </w:r>
    </w:p>
  </w:footnote>
  <w:footnote w:type="continuationSeparator" w:id="0">
    <w:p w:rsidR="00111D30" w:rsidRDefault="00111D30" w:rsidP="009B4ECB">
      <w:r>
        <w:continuationSeparator/>
      </w:r>
    </w:p>
  </w:footnote>
  <w:footnote w:id="1">
    <w:p w:rsidR="009B4ECB" w:rsidRDefault="009B4ECB" w:rsidP="009B4ECB">
      <w:pPr>
        <w:pStyle w:val="Lbjegyzetszveg"/>
        <w:ind w:left="142" w:hanging="142"/>
        <w:rPr>
          <w:sz w:val="4"/>
          <w:szCs w:val="4"/>
        </w:rPr>
      </w:pPr>
    </w:p>
    <w:p w:rsidR="009B4ECB" w:rsidRDefault="009B4ECB" w:rsidP="009B4ECB">
      <w:pPr>
        <w:pStyle w:val="Lbjegyzetszveg"/>
        <w:ind w:left="142"/>
      </w:pPr>
      <w:r>
        <w:rPr>
          <w:rStyle w:val="Lbjegyzet-hivatkozs"/>
          <w:b/>
        </w:rPr>
        <w:footnoteRef/>
      </w:r>
      <w:r>
        <w:t xml:space="preserve"> </w:t>
      </w:r>
      <w:proofErr w:type="spellStart"/>
      <w:r>
        <w:rPr>
          <w:b/>
        </w:rPr>
        <w:t>N</w:t>
      </w:r>
      <w:r>
        <w:rPr>
          <w:b/>
          <w:bCs/>
        </w:rPr>
        <w:t>ftv</w:t>
      </w:r>
      <w:proofErr w:type="spellEnd"/>
      <w:r>
        <w:rPr>
          <w:b/>
          <w:bCs/>
        </w:rPr>
        <w:t xml:space="preserve">. 108. § </w:t>
      </w:r>
      <w:r>
        <w:t>37.</w:t>
      </w:r>
      <w:r>
        <w:rPr>
          <w:i/>
        </w:rPr>
        <w:t xml:space="preserve"> tanóra</w:t>
      </w:r>
      <w:r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29FE"/>
    <w:multiLevelType w:val="hybridMultilevel"/>
    <w:tmpl w:val="EC088A1E"/>
    <w:lvl w:ilvl="0" w:tplc="6478D236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2B6A4CC1"/>
    <w:multiLevelType w:val="hybridMultilevel"/>
    <w:tmpl w:val="A2505880"/>
    <w:lvl w:ilvl="0" w:tplc="4FCE21D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ECB"/>
    <w:rsid w:val="00111D30"/>
    <w:rsid w:val="00293BA5"/>
    <w:rsid w:val="006C096B"/>
    <w:rsid w:val="00760672"/>
    <w:rsid w:val="0077538F"/>
    <w:rsid w:val="009B4ECB"/>
    <w:rsid w:val="00D509F8"/>
    <w:rsid w:val="00D8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4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B4EC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B4ECB"/>
  </w:style>
  <w:style w:type="character" w:customStyle="1" w:styleId="LbjegyzetszvegChar">
    <w:name w:val="Lábjegyzetszöveg Char"/>
    <w:basedOn w:val="Bekezdsalapbettpusa"/>
    <w:link w:val="Lbjegyzetszveg"/>
    <w:semiHidden/>
    <w:rsid w:val="009B4E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9B4ECB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B4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2022-02-18T11:50:00Z</dcterms:created>
  <dcterms:modified xsi:type="dcterms:W3CDTF">2022-02-18T11:50:00Z</dcterms:modified>
</cp:coreProperties>
</file>