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6"/>
        <w:gridCol w:w="2182"/>
      </w:tblGrid>
      <w:tr w:rsidR="00850A88" w:rsidRPr="008A2386" w:rsidTr="009A1C76"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0A88" w:rsidRPr="008A2386" w:rsidRDefault="00850A88" w:rsidP="00E0296E">
            <w:pPr>
              <w:jc w:val="both"/>
            </w:pPr>
            <w:r>
              <w:rPr>
                <w:b/>
              </w:rPr>
              <w:t>(47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A56D9D">
              <w:rPr>
                <w:b/>
              </w:rPr>
              <w:t>Német-magyar kulturális kapcsolatok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0A88" w:rsidRPr="008A2386" w:rsidRDefault="00850A88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850A88" w:rsidRPr="008A2386" w:rsidTr="009A1C7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0A88" w:rsidRPr="008A2386" w:rsidRDefault="00850A88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rPr>
                <w:u w:val="single"/>
              </w:rPr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20358">
              <w:t>2 ó / hét</w:t>
            </w:r>
            <w:r>
              <w:rPr>
                <w:b/>
              </w:rPr>
              <w:t xml:space="preserve"> </w:t>
            </w:r>
          </w:p>
          <w:p w:rsidR="00850A88" w:rsidRPr="008A2386" w:rsidRDefault="00850A88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850A88" w:rsidRPr="008A2386" w:rsidRDefault="00850A88" w:rsidP="00E0296E">
            <w:pPr>
              <w:suppressAutoHyphens/>
              <w:spacing w:before="60"/>
              <w:jc w:val="both"/>
            </w:pPr>
            <w:r w:rsidRPr="008A2386">
              <w:t xml:space="preserve">Az adott ismeret átadásában alkalmazandó </w:t>
            </w:r>
            <w:r w:rsidRPr="008A2386">
              <w:rPr>
                <w:b/>
              </w:rPr>
              <w:t>további</w:t>
            </w:r>
            <w:r w:rsidRPr="008A2386">
              <w:t xml:space="preserve"> 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módok, jellemzők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t>: …</w:t>
            </w:r>
            <w:proofErr w:type="gramEnd"/>
            <w:r w:rsidRPr="008A2386">
              <w:t>……………………..</w:t>
            </w:r>
          </w:p>
        </w:tc>
      </w:tr>
      <w:tr w:rsidR="00850A88" w:rsidRPr="008A2386" w:rsidTr="009A1C7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0A88" w:rsidRPr="008A2386" w:rsidRDefault="00850A88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>módja</w:t>
            </w:r>
            <w:r w:rsidRPr="008A2386">
              <w:t>:</w:t>
            </w:r>
            <w:r w:rsidRPr="00D20358">
              <w:t xml:space="preserve"> kollokvium</w:t>
            </w:r>
          </w:p>
          <w:p w:rsidR="00850A88" w:rsidRPr="008A2386" w:rsidRDefault="00850A88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3"/>
            </w:r>
            <w:r w:rsidRPr="008A2386">
              <w:rPr>
                <w:b/>
              </w:rPr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rPr>
                <w:b/>
              </w:rPr>
              <w:t xml:space="preserve">: </w:t>
            </w:r>
            <w:r w:rsidRPr="008A2386">
              <w:t>…</w:t>
            </w:r>
            <w:proofErr w:type="gramEnd"/>
            <w:r w:rsidRPr="008A2386">
              <w:t>……………………..</w:t>
            </w:r>
          </w:p>
        </w:tc>
      </w:tr>
    </w:tbl>
    <w:p w:rsidR="00850A88" w:rsidRPr="008A2386" w:rsidRDefault="00850A88" w:rsidP="00850A88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50A88" w:rsidRPr="008A2386" w:rsidTr="009A1C76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0A88" w:rsidRPr="008A2386" w:rsidRDefault="00850A88" w:rsidP="00E0296E">
            <w:pPr>
              <w:suppressAutoHyphens/>
              <w:spacing w:before="60"/>
              <w:jc w:val="both"/>
              <w:rPr>
                <w:b/>
              </w:rPr>
            </w:pPr>
            <w:r>
              <w:rPr>
                <w:b/>
              </w:rPr>
              <w:t>Tantárgy</w:t>
            </w:r>
            <w:r w:rsidRPr="008A2386">
              <w:rPr>
                <w:b/>
              </w:rPr>
              <w:t>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850A88" w:rsidRPr="008A2386" w:rsidTr="009A1C76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0A88" w:rsidRPr="008A2386" w:rsidRDefault="00850A88" w:rsidP="00E0296E">
            <w:pPr>
              <w:jc w:val="both"/>
            </w:pPr>
            <w:r w:rsidRPr="008A2386">
              <w:t xml:space="preserve">Az előadás a német-magyar kulturális és művészeti kapcsolatok legfontosabb történelmi korszakaival (felvilágosodás, klasszika, Monarchia kultúrája, világháborúk, </w:t>
            </w:r>
            <w:proofErr w:type="spellStart"/>
            <w:r w:rsidRPr="008A2386">
              <w:t>Weimari</w:t>
            </w:r>
            <w:proofErr w:type="spellEnd"/>
            <w:r w:rsidRPr="008A2386">
              <w:t xml:space="preserve"> Köztársaság, diktatúrák kora, globalizáció), legújabb kori sajátosságaival és jelenkori intézményrendszerével foglalkozik. Az előadás tehát nem csupán történelmi távlatokat kíván nyitni Magyarország és a német nyelvű országok között kialakult kulturális kapcsolatok sajátosságait illetően, hanem fokozottan reflektál a kétoldalú kapcsolatok lehetőségeire napjainkban. Az előadás az ismeretek megalapozásaként szánt történelmi áttekintés után német illetve magyar kulturális intézetek programjait, intézményeit és célkitűzéseit vizsgálja.</w:t>
            </w:r>
          </w:p>
        </w:tc>
      </w:tr>
      <w:tr w:rsidR="00850A88" w:rsidRPr="008A2386" w:rsidTr="009A1C76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50A88" w:rsidRPr="008A2386" w:rsidRDefault="00850A88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850A88" w:rsidRPr="008A2386" w:rsidTr="009A1C76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50A88" w:rsidRPr="008A2386" w:rsidRDefault="00850A88" w:rsidP="00E0296E">
            <w:r w:rsidRPr="008A2386">
              <w:t xml:space="preserve">Bernáth Árpád &amp; </w:t>
            </w:r>
            <w:proofErr w:type="spellStart"/>
            <w:r w:rsidRPr="008A2386">
              <w:t>Bombitz</w:t>
            </w:r>
            <w:proofErr w:type="spellEnd"/>
            <w:r w:rsidRPr="008A2386">
              <w:t xml:space="preserve"> Attila (szerk.)</w:t>
            </w:r>
            <w:proofErr w:type="gramStart"/>
            <w:r w:rsidRPr="008A2386">
              <w:t xml:space="preserve">:  </w:t>
            </w:r>
            <w:r w:rsidRPr="008A2386">
              <w:rPr>
                <w:i/>
              </w:rPr>
              <w:t>Miért</w:t>
            </w:r>
            <w:proofErr w:type="gramEnd"/>
            <w:r w:rsidRPr="008A2386">
              <w:rPr>
                <w:i/>
              </w:rPr>
              <w:t xml:space="preserve"> olvassák a németek a magyarokat?</w:t>
            </w:r>
            <w:r w:rsidRPr="008A2386">
              <w:t xml:space="preserve"> Szeged: Grimm, 2004.</w:t>
            </w:r>
          </w:p>
          <w:p w:rsidR="00850A88" w:rsidRPr="008A2386" w:rsidRDefault="00850A88" w:rsidP="00E0296E">
            <w:proofErr w:type="spellStart"/>
            <w:r w:rsidRPr="008A2386">
              <w:t>Bremer</w:t>
            </w:r>
            <w:proofErr w:type="spellEnd"/>
            <w:r w:rsidRPr="008A2386">
              <w:t xml:space="preserve">, Thomas (Hg.): </w:t>
            </w:r>
            <w:proofErr w:type="spellStart"/>
            <w:r w:rsidRPr="008A2386">
              <w:rPr>
                <w:i/>
              </w:rPr>
              <w:t>Grenzen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überschreiten</w:t>
            </w:r>
            <w:proofErr w:type="spellEnd"/>
            <w:r w:rsidRPr="008A2386">
              <w:rPr>
                <w:i/>
              </w:rPr>
              <w:t xml:space="preserve">: </w:t>
            </w:r>
            <w:proofErr w:type="spellStart"/>
            <w:r w:rsidRPr="008A2386">
              <w:rPr>
                <w:i/>
              </w:rPr>
              <w:t>Beiträge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zur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deutsche-ungarischen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Kulturwissenschaft</w:t>
            </w:r>
            <w:proofErr w:type="spellEnd"/>
            <w:r w:rsidRPr="008A2386">
              <w:rPr>
                <w:i/>
              </w:rPr>
              <w:t>.</w:t>
            </w:r>
            <w:r w:rsidRPr="008A2386">
              <w:t xml:space="preserve"> Halle an der </w:t>
            </w:r>
            <w:proofErr w:type="spellStart"/>
            <w:r w:rsidRPr="008A2386">
              <w:t>Saale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Stekovics</w:t>
            </w:r>
            <w:proofErr w:type="spellEnd"/>
            <w:r w:rsidRPr="008A2386">
              <w:t>, 2001.</w:t>
            </w:r>
          </w:p>
          <w:p w:rsidR="00850A88" w:rsidRPr="008A2386" w:rsidRDefault="00850A88" w:rsidP="00E0296E">
            <w:proofErr w:type="spellStart"/>
            <w:r w:rsidRPr="008A2386">
              <w:t>Fried</w:t>
            </w:r>
            <w:proofErr w:type="spellEnd"/>
            <w:r w:rsidRPr="008A2386">
              <w:t xml:space="preserve"> István: </w:t>
            </w:r>
            <w:r w:rsidRPr="008A2386">
              <w:rPr>
                <w:i/>
              </w:rPr>
              <w:t>"Lelkek a pányván</w:t>
            </w:r>
            <w:proofErr w:type="gramStart"/>
            <w:r w:rsidRPr="008A2386">
              <w:rPr>
                <w:i/>
              </w:rPr>
              <w:t>" :</w:t>
            </w:r>
            <w:proofErr w:type="gramEnd"/>
            <w:r w:rsidRPr="008A2386">
              <w:rPr>
                <w:i/>
              </w:rPr>
              <w:t xml:space="preserve"> osztrák - magyar - közép-európai művelődési kapcsolatok.</w:t>
            </w:r>
            <w:r w:rsidRPr="008A2386">
              <w:t xml:space="preserve"> Szeged: Szegedi Tudományegyetem Bölcsészettudományi Kar, 2002</w:t>
            </w:r>
          </w:p>
          <w:p w:rsidR="00850A88" w:rsidRPr="008A2386" w:rsidRDefault="00850A88" w:rsidP="00E0296E">
            <w:proofErr w:type="spellStart"/>
            <w:r w:rsidRPr="008A2386">
              <w:t>Thurnher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Eugen</w:t>
            </w:r>
            <w:proofErr w:type="spellEnd"/>
            <w:r w:rsidRPr="008A2386">
              <w:t xml:space="preserve"> (Hg.): </w:t>
            </w:r>
            <w:r w:rsidRPr="008A2386">
              <w:rPr>
                <w:i/>
              </w:rPr>
              <w:t>"</w:t>
            </w:r>
            <w:proofErr w:type="spellStart"/>
            <w:r w:rsidRPr="008A2386">
              <w:rPr>
                <w:i/>
              </w:rPr>
              <w:t>Kakanien</w:t>
            </w:r>
            <w:proofErr w:type="spellEnd"/>
            <w:r w:rsidRPr="008A2386">
              <w:rPr>
                <w:i/>
              </w:rPr>
              <w:t xml:space="preserve">": </w:t>
            </w:r>
            <w:proofErr w:type="spellStart"/>
            <w:r w:rsidRPr="008A2386">
              <w:rPr>
                <w:i/>
              </w:rPr>
              <w:t>Aufsätze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zur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österreichischen</w:t>
            </w:r>
            <w:proofErr w:type="spellEnd"/>
            <w:r w:rsidRPr="008A2386">
              <w:rPr>
                <w:i/>
              </w:rPr>
              <w:t xml:space="preserve"> und </w:t>
            </w:r>
            <w:proofErr w:type="spellStart"/>
            <w:r w:rsidRPr="008A2386">
              <w:rPr>
                <w:i/>
              </w:rPr>
              <w:t>ungarischen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Literatur</w:t>
            </w:r>
            <w:proofErr w:type="spellEnd"/>
            <w:r w:rsidRPr="008A2386">
              <w:rPr>
                <w:i/>
              </w:rPr>
              <w:t xml:space="preserve">, </w:t>
            </w:r>
            <w:proofErr w:type="spellStart"/>
            <w:r w:rsidRPr="008A2386">
              <w:rPr>
                <w:i/>
              </w:rPr>
              <w:t>Kunst</w:t>
            </w:r>
            <w:proofErr w:type="spellEnd"/>
            <w:r w:rsidRPr="008A2386">
              <w:rPr>
                <w:i/>
              </w:rPr>
              <w:t xml:space="preserve"> und </w:t>
            </w:r>
            <w:proofErr w:type="spellStart"/>
            <w:r w:rsidRPr="008A2386">
              <w:rPr>
                <w:i/>
              </w:rPr>
              <w:t>Kultur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um</w:t>
            </w:r>
            <w:proofErr w:type="spellEnd"/>
            <w:r w:rsidRPr="008A2386">
              <w:rPr>
                <w:i/>
              </w:rPr>
              <w:t xml:space="preserve"> die </w:t>
            </w:r>
            <w:proofErr w:type="spellStart"/>
            <w:r w:rsidRPr="008A2386">
              <w:rPr>
                <w:i/>
              </w:rPr>
              <w:t>Jahrhundertwende</w:t>
            </w:r>
            <w:proofErr w:type="spellEnd"/>
            <w:r w:rsidRPr="008A2386">
              <w:t xml:space="preserve">. Budapest: Akadémiai Kiadó; Wien: </w:t>
            </w:r>
            <w:proofErr w:type="spellStart"/>
            <w:r w:rsidRPr="008A2386">
              <w:t>Verlag</w:t>
            </w:r>
            <w:proofErr w:type="spellEnd"/>
            <w:r w:rsidRPr="008A2386">
              <w:t xml:space="preserve"> der </w:t>
            </w:r>
            <w:proofErr w:type="spellStart"/>
            <w:r w:rsidRPr="008A2386">
              <w:t>Österreichischen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Akademie</w:t>
            </w:r>
            <w:proofErr w:type="spellEnd"/>
            <w:r w:rsidRPr="008A2386">
              <w:t xml:space="preserve"> der </w:t>
            </w:r>
            <w:proofErr w:type="spellStart"/>
            <w:r w:rsidRPr="008A2386">
              <w:t>Wissenschaften</w:t>
            </w:r>
            <w:proofErr w:type="spellEnd"/>
            <w:r w:rsidRPr="008A2386">
              <w:t>, 1991.</w:t>
            </w:r>
          </w:p>
        </w:tc>
      </w:tr>
    </w:tbl>
    <w:p w:rsidR="00D509F8" w:rsidRDefault="00D509F8" w:rsidP="00850A8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B4" w:rsidRDefault="004A1DB4" w:rsidP="00850A88">
      <w:r>
        <w:separator/>
      </w:r>
    </w:p>
  </w:endnote>
  <w:endnote w:type="continuationSeparator" w:id="0">
    <w:p w:rsidR="004A1DB4" w:rsidRDefault="004A1DB4" w:rsidP="0085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B4" w:rsidRDefault="004A1DB4" w:rsidP="00850A88">
      <w:r>
        <w:separator/>
      </w:r>
    </w:p>
  </w:footnote>
  <w:footnote w:type="continuationSeparator" w:id="0">
    <w:p w:rsidR="004A1DB4" w:rsidRDefault="004A1DB4" w:rsidP="00850A88">
      <w:r>
        <w:continuationSeparator/>
      </w:r>
    </w:p>
  </w:footnote>
  <w:footnote w:id="1">
    <w:p w:rsidR="00850A88" w:rsidRDefault="00850A88" w:rsidP="00850A88">
      <w:pPr>
        <w:pStyle w:val="Lbjegyzetszveg"/>
        <w:ind w:left="142" w:hanging="142"/>
        <w:rPr>
          <w:sz w:val="4"/>
          <w:szCs w:val="4"/>
        </w:rPr>
      </w:pPr>
    </w:p>
    <w:p w:rsidR="00850A88" w:rsidRDefault="00850A88" w:rsidP="00850A88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spellStart"/>
      <w:r>
        <w:rPr>
          <w:b/>
        </w:rPr>
        <w:t>N</w:t>
      </w:r>
      <w:r>
        <w:rPr>
          <w:b/>
          <w:bCs/>
        </w:rPr>
        <w:t>ftv</w:t>
      </w:r>
      <w:proofErr w:type="spellEnd"/>
      <w:r>
        <w:rPr>
          <w:b/>
          <w:bCs/>
        </w:rPr>
        <w:t xml:space="preserve">. 108. § </w:t>
      </w:r>
      <w:r>
        <w:t>37.</w:t>
      </w:r>
      <w:r>
        <w:rPr>
          <w:i/>
        </w:rPr>
        <w:t xml:space="preserve"> tanóra</w:t>
      </w:r>
      <w:r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50A88" w:rsidRDefault="00850A88" w:rsidP="00850A88">
      <w:pPr>
        <w:pStyle w:val="Lbjegyzetszveg"/>
        <w:ind w:left="142"/>
      </w:pPr>
      <w:r>
        <w:rPr>
          <w:rStyle w:val="Lbjegyzet-hivatkozs"/>
          <w:b/>
        </w:rPr>
        <w:footnoteRef/>
      </w:r>
      <w:r>
        <w:rPr>
          <w:b/>
        </w:rPr>
        <w:t xml:space="preserve"> </w:t>
      </w:r>
      <w:proofErr w:type="gramStart"/>
      <w:r>
        <w:t>pl.</w:t>
      </w:r>
      <w:proofErr w:type="gramEnd"/>
      <w:r>
        <w:t xml:space="preserve"> esetismertetések, szerepjáték, tematikus prezentációk stb.</w:t>
      </w:r>
    </w:p>
  </w:footnote>
  <w:footnote w:id="3">
    <w:p w:rsidR="00850A88" w:rsidRDefault="00850A88" w:rsidP="00850A88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gramStart"/>
      <w:r>
        <w:t>pl.</w:t>
      </w:r>
      <w:proofErr w:type="gramEnd"/>
      <w:r>
        <w:t xml:space="preserve"> esettanulmányok, témakidolgozások, dolgozatok, esszék, üzleti, szervezési tervek stb. bekérése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88"/>
    <w:rsid w:val="000104C6"/>
    <w:rsid w:val="000707C2"/>
    <w:rsid w:val="004A1DB4"/>
    <w:rsid w:val="00850A88"/>
    <w:rsid w:val="009A1C76"/>
    <w:rsid w:val="00B50F5A"/>
    <w:rsid w:val="00D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50A8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50A88"/>
  </w:style>
  <w:style w:type="character" w:customStyle="1" w:styleId="LbjegyzetszvegChar">
    <w:name w:val="Lábjegyzetszöveg Char"/>
    <w:basedOn w:val="Bekezdsalapbettpusa"/>
    <w:link w:val="Lbjegyzetszveg"/>
    <w:semiHidden/>
    <w:rsid w:val="00850A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850A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1749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2022-03-08T08:06:00Z</dcterms:created>
  <dcterms:modified xsi:type="dcterms:W3CDTF">2022-03-08T08:06:00Z</dcterms:modified>
</cp:coreProperties>
</file>