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01" w:rsidRPr="00B11901" w:rsidRDefault="004B5C01" w:rsidP="004B5C01">
      <w:pPr>
        <w:rPr>
          <w:rFonts w:ascii="Arial" w:hAnsi="Arial" w:cs="Arial"/>
          <w:b/>
          <w:iCs/>
          <w:sz w:val="32"/>
          <w:szCs w:val="32"/>
          <w:lang w:val="de-DE"/>
        </w:rPr>
      </w:pPr>
      <w:r w:rsidRPr="00B11901">
        <w:rPr>
          <w:rFonts w:ascii="Arial" w:hAnsi="Arial" w:cs="Arial"/>
          <w:b/>
          <w:iCs/>
          <w:sz w:val="32"/>
          <w:szCs w:val="32"/>
          <w:lang w:val="de-DE"/>
        </w:rPr>
        <w:t>Beschreibung der Lehrveranstaltung</w:t>
      </w:r>
    </w:p>
    <w:p w:rsidR="004B5C01" w:rsidRPr="00B11901" w:rsidRDefault="004B5C01" w:rsidP="004B5C01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0"/>
        <w:gridCol w:w="1950"/>
        <w:gridCol w:w="1760"/>
        <w:gridCol w:w="2403"/>
        <w:gridCol w:w="1129"/>
      </w:tblGrid>
      <w:tr w:rsidR="00F126C7" w:rsidRPr="00B11901" w:rsidTr="00B11901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C7" w:rsidRPr="00B11901" w:rsidRDefault="00232355" w:rsidP="00F4783F">
            <w:pPr>
              <w:rPr>
                <w:b/>
                <w:lang w:val="de-DE"/>
              </w:rPr>
            </w:pPr>
            <w:r w:rsidRPr="00B11901">
              <w:rPr>
                <w:b/>
                <w:lang w:val="de-DE"/>
              </w:rPr>
              <w:t>Code</w:t>
            </w:r>
            <w:r w:rsidR="00F126C7" w:rsidRPr="00B11901">
              <w:rPr>
                <w:b/>
                <w:lang w:val="de-DE"/>
              </w:rPr>
              <w:t>:</w:t>
            </w:r>
          </w:p>
          <w:p w:rsidR="00F126C7" w:rsidRPr="00B11901" w:rsidRDefault="00DC5B3B" w:rsidP="00F4783F">
            <w:pPr>
              <w:rPr>
                <w:lang w:val="de-DE"/>
              </w:rPr>
            </w:pPr>
            <w:r w:rsidRPr="00DC5B3B">
              <w:rPr>
                <w:lang w:val="de-DE"/>
              </w:rPr>
              <w:t>BTNM533OMA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C7" w:rsidRPr="00B11901" w:rsidRDefault="00F126C7" w:rsidP="00F4783F">
            <w:pPr>
              <w:rPr>
                <w:b/>
                <w:lang w:val="de-DE"/>
              </w:rPr>
            </w:pPr>
            <w:r w:rsidRPr="00B11901">
              <w:rPr>
                <w:b/>
                <w:lang w:val="de-DE"/>
              </w:rPr>
              <w:t>Wochenstunden:</w:t>
            </w:r>
          </w:p>
          <w:p w:rsidR="00F126C7" w:rsidRPr="00B11901" w:rsidRDefault="00F126C7" w:rsidP="00F4783F">
            <w:pPr>
              <w:rPr>
                <w:lang w:val="de-DE"/>
              </w:rPr>
            </w:pPr>
            <w:r w:rsidRPr="00B11901">
              <w:rPr>
                <w:lang w:val="de-DE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C7" w:rsidRPr="00B11901" w:rsidRDefault="00232355" w:rsidP="00F4783F">
            <w:pPr>
              <w:rPr>
                <w:b/>
                <w:lang w:val="de-DE"/>
              </w:rPr>
            </w:pPr>
            <w:r w:rsidRPr="00B11901">
              <w:rPr>
                <w:b/>
                <w:lang w:val="de-DE"/>
              </w:rPr>
              <w:t>ECTS</w:t>
            </w:r>
            <w:r w:rsidR="00F126C7" w:rsidRPr="00B11901">
              <w:rPr>
                <w:b/>
                <w:lang w:val="de-DE"/>
              </w:rPr>
              <w:t>:</w:t>
            </w:r>
          </w:p>
          <w:p w:rsidR="00F126C7" w:rsidRPr="00B11901" w:rsidRDefault="00DC5B3B" w:rsidP="00F4783F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C7" w:rsidRPr="00B11901" w:rsidRDefault="00F126C7" w:rsidP="00F4783F">
            <w:pPr>
              <w:rPr>
                <w:b/>
                <w:lang w:val="de-DE"/>
              </w:rPr>
            </w:pPr>
            <w:r w:rsidRPr="00B11901">
              <w:rPr>
                <w:b/>
                <w:lang w:val="de-DE"/>
              </w:rPr>
              <w:t>Termin:</w:t>
            </w:r>
          </w:p>
          <w:p w:rsidR="00B11901" w:rsidRPr="00B11901" w:rsidRDefault="00B11901" w:rsidP="00FA5F05">
            <w:pPr>
              <w:rPr>
                <w:lang w:val="de-DE"/>
              </w:rPr>
            </w:pPr>
            <w:r w:rsidRPr="00B11901">
              <w:rPr>
                <w:lang w:val="de-DE"/>
              </w:rPr>
              <w:t>Dienstag 1</w:t>
            </w:r>
            <w:r w:rsidR="00DC5B3B">
              <w:rPr>
                <w:lang w:val="de-DE"/>
              </w:rPr>
              <w:t>8</w:t>
            </w:r>
            <w:r w:rsidRPr="00B11901">
              <w:rPr>
                <w:lang w:val="de-DE"/>
              </w:rPr>
              <w:t>:00-</w:t>
            </w:r>
            <w:r w:rsidR="00DC5B3B">
              <w:rPr>
                <w:lang w:val="de-DE"/>
              </w:rPr>
              <w:t>19</w:t>
            </w:r>
            <w:r w:rsidRPr="00B11901">
              <w:rPr>
                <w:lang w:val="de-DE"/>
              </w:rPr>
              <w:t>.40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7" w:rsidRPr="00B11901" w:rsidRDefault="00F126C7" w:rsidP="00F4783F">
            <w:pPr>
              <w:rPr>
                <w:b/>
                <w:lang w:val="de-DE"/>
              </w:rPr>
            </w:pPr>
            <w:r w:rsidRPr="00B11901">
              <w:rPr>
                <w:b/>
                <w:lang w:val="de-DE"/>
              </w:rPr>
              <w:t>Raum:</w:t>
            </w:r>
          </w:p>
          <w:p w:rsidR="00B11901" w:rsidRPr="00B11901" w:rsidRDefault="00DC5B3B" w:rsidP="00F4783F">
            <w:pPr>
              <w:rPr>
                <w:lang w:val="de-DE"/>
              </w:rPr>
            </w:pPr>
            <w:r>
              <w:rPr>
                <w:lang w:val="de-DE"/>
              </w:rPr>
              <w:t>133/2</w:t>
            </w:r>
          </w:p>
        </w:tc>
      </w:tr>
      <w:tr w:rsidR="00B42C68" w:rsidRPr="00B11901" w:rsidTr="00B11901"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68" w:rsidRPr="00B11901" w:rsidRDefault="00B42C68" w:rsidP="00F4783F">
            <w:pPr>
              <w:rPr>
                <w:b/>
                <w:lang w:val="de-DE"/>
              </w:rPr>
            </w:pPr>
            <w:r w:rsidRPr="00B11901">
              <w:rPr>
                <w:b/>
                <w:lang w:val="de-DE"/>
              </w:rPr>
              <w:t>Titel der Lehrveranstaltung:</w:t>
            </w:r>
          </w:p>
          <w:p w:rsidR="00B42C68" w:rsidRPr="00B11901" w:rsidRDefault="00DC5B3B" w:rsidP="00602C37">
            <w:pPr>
              <w:rPr>
                <w:lang w:val="de-DE"/>
              </w:rPr>
            </w:pPr>
            <w:r>
              <w:rPr>
                <w:lang w:val="de-DE"/>
              </w:rPr>
              <w:t>Literatur und andere Medien 1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8" w:rsidRPr="00B11901" w:rsidRDefault="00B42C68" w:rsidP="00F4783F">
            <w:pPr>
              <w:rPr>
                <w:b/>
                <w:lang w:val="de-DE"/>
              </w:rPr>
            </w:pPr>
            <w:r w:rsidRPr="00B11901">
              <w:rPr>
                <w:b/>
                <w:lang w:val="de-DE"/>
              </w:rPr>
              <w:t>Art der Lehrveranstaltung:</w:t>
            </w:r>
          </w:p>
          <w:p w:rsidR="00B42C68" w:rsidRPr="00B11901" w:rsidRDefault="00B42C68" w:rsidP="00F4783F">
            <w:pPr>
              <w:rPr>
                <w:lang w:val="de-DE"/>
              </w:rPr>
            </w:pPr>
            <w:r w:rsidRPr="00B11901">
              <w:rPr>
                <w:lang w:val="de-DE"/>
              </w:rPr>
              <w:t>Obligatorische</w:t>
            </w:r>
            <w:r w:rsidR="00B11901" w:rsidRPr="00B11901">
              <w:rPr>
                <w:lang w:val="de-DE"/>
              </w:rPr>
              <w:t>s</w:t>
            </w:r>
            <w:r w:rsidRPr="00B11901">
              <w:rPr>
                <w:lang w:val="de-DE"/>
              </w:rPr>
              <w:t xml:space="preserve"> </w:t>
            </w:r>
            <w:r w:rsidR="00B11901" w:rsidRPr="00B11901">
              <w:rPr>
                <w:lang w:val="de-DE"/>
              </w:rPr>
              <w:t>Seminar</w:t>
            </w:r>
            <w:r w:rsidRPr="00B11901">
              <w:rPr>
                <w:lang w:val="de-DE"/>
              </w:rPr>
              <w:t xml:space="preserve"> </w:t>
            </w:r>
          </w:p>
        </w:tc>
      </w:tr>
      <w:tr w:rsidR="00B42C68" w:rsidRPr="00B11901" w:rsidTr="00B11901"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68" w:rsidRPr="00B11901" w:rsidRDefault="00B42C68" w:rsidP="0082288B">
            <w:pPr>
              <w:rPr>
                <w:lang w:val="de-DE"/>
              </w:rPr>
            </w:pPr>
            <w:proofErr w:type="spellStart"/>
            <w:r w:rsidRPr="00B11901">
              <w:rPr>
                <w:lang w:val="de-DE"/>
              </w:rPr>
              <w:t>Dozent</w:t>
            </w:r>
            <w:r w:rsidR="00B11901">
              <w:rPr>
                <w:lang w:val="de-DE"/>
              </w:rPr>
              <w:t>I</w:t>
            </w:r>
            <w:r w:rsidRPr="00B11901">
              <w:rPr>
                <w:lang w:val="de-DE"/>
              </w:rPr>
              <w:t>n</w:t>
            </w:r>
            <w:proofErr w:type="spellEnd"/>
            <w:r w:rsidRPr="00B11901">
              <w:rPr>
                <w:lang w:val="de-DE"/>
              </w:rPr>
              <w:t xml:space="preserve">: Dr. </w:t>
            </w:r>
            <w:r w:rsidR="00B11901" w:rsidRPr="00B11901">
              <w:rPr>
                <w:lang w:val="de-DE"/>
              </w:rPr>
              <w:t xml:space="preserve">Beatrix </w:t>
            </w:r>
            <w:proofErr w:type="spellStart"/>
            <w:r w:rsidR="00B11901" w:rsidRPr="00B11901">
              <w:rPr>
                <w:lang w:val="de-DE"/>
              </w:rPr>
              <w:t>Kricsfalusi</w:t>
            </w:r>
            <w:proofErr w:type="spellEnd"/>
            <w:r w:rsidRPr="00B11901">
              <w:rPr>
                <w:lang w:val="de-DE"/>
              </w:rPr>
              <w:t xml:space="preserve"> 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8" w:rsidRPr="00B11901" w:rsidRDefault="00B42C68" w:rsidP="00F4783F">
            <w:pPr>
              <w:rPr>
                <w:lang w:val="de-DE"/>
              </w:rPr>
            </w:pPr>
            <w:r w:rsidRPr="00B11901">
              <w:rPr>
                <w:lang w:val="de-DE"/>
              </w:rPr>
              <w:t>Sprache: deutsch</w:t>
            </w:r>
          </w:p>
          <w:p w:rsidR="00B42C68" w:rsidRPr="00B11901" w:rsidRDefault="00B42C68" w:rsidP="00F4783F">
            <w:pPr>
              <w:rPr>
                <w:lang w:val="de-DE"/>
              </w:rPr>
            </w:pPr>
          </w:p>
        </w:tc>
      </w:tr>
      <w:tr w:rsidR="00B42C68" w:rsidRPr="00B11901" w:rsidTr="00B11901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8" w:rsidRPr="00B11901" w:rsidRDefault="00B42C68" w:rsidP="00F4783F">
            <w:pPr>
              <w:rPr>
                <w:lang w:val="de-DE"/>
              </w:rPr>
            </w:pPr>
            <w:r w:rsidRPr="00B11901">
              <w:rPr>
                <w:lang w:val="de-DE"/>
              </w:rPr>
              <w:t xml:space="preserve">Form der Bewertung: </w:t>
            </w:r>
            <w:r w:rsidR="00B11901" w:rsidRPr="00B11901">
              <w:rPr>
                <w:lang w:val="de-DE"/>
              </w:rPr>
              <w:t>Seminarnote</w:t>
            </w:r>
            <w:r w:rsidRPr="00B11901">
              <w:rPr>
                <w:lang w:val="de-DE"/>
              </w:rPr>
              <w:t xml:space="preserve"> </w:t>
            </w:r>
          </w:p>
          <w:p w:rsidR="00B42C68" w:rsidRPr="00B11901" w:rsidRDefault="00B42C68" w:rsidP="00F4783F">
            <w:pPr>
              <w:rPr>
                <w:lang w:val="de-DE"/>
              </w:rPr>
            </w:pPr>
          </w:p>
        </w:tc>
      </w:tr>
      <w:tr w:rsidR="00B42C68" w:rsidRPr="00B11901" w:rsidTr="00B11901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8" w:rsidRPr="00B11901" w:rsidRDefault="00B42C68" w:rsidP="00F4783F">
            <w:pPr>
              <w:rPr>
                <w:b/>
                <w:i/>
                <w:u w:val="single"/>
                <w:lang w:val="de-DE"/>
              </w:rPr>
            </w:pPr>
            <w:r w:rsidRPr="00B11901">
              <w:rPr>
                <w:b/>
                <w:i/>
                <w:u w:val="single"/>
                <w:lang w:val="de-DE"/>
              </w:rPr>
              <w:t>Beschreibung:</w:t>
            </w:r>
          </w:p>
          <w:p w:rsidR="00B42C68" w:rsidRPr="00B11901" w:rsidRDefault="00B42C68" w:rsidP="00F4783F">
            <w:pPr>
              <w:rPr>
                <w:b/>
                <w:i/>
                <w:u w:val="single"/>
                <w:lang w:val="de-DE"/>
              </w:rPr>
            </w:pPr>
          </w:p>
          <w:p w:rsidR="00DC5B3B" w:rsidRDefault="00DC5B3B" w:rsidP="00DC5B3B">
            <w:pPr>
              <w:rPr>
                <w:lang w:val="de-DE"/>
              </w:rPr>
            </w:pPr>
            <w:r>
              <w:rPr>
                <w:lang w:val="de-DE"/>
              </w:rPr>
              <w:t>Das Seminar setzt sich zum Ziel, das Verh</w:t>
            </w:r>
            <w:r w:rsidR="00C27424">
              <w:rPr>
                <w:lang w:val="de-DE"/>
              </w:rPr>
              <w:t xml:space="preserve">ältnis von Drama und Theater zu </w:t>
            </w:r>
            <w:r w:rsidR="007D21D5">
              <w:rPr>
                <w:lang w:val="de-DE"/>
              </w:rPr>
              <w:t>erfassen</w:t>
            </w:r>
            <w:r w:rsidR="00C27424">
              <w:rPr>
                <w:lang w:val="de-DE"/>
              </w:rPr>
              <w:t>. Anhand von Klassikerinszenierungen wird</w:t>
            </w:r>
            <w:r w:rsidR="00083FBE">
              <w:rPr>
                <w:lang w:val="de-DE"/>
              </w:rPr>
              <w:t xml:space="preserve"> auf</w:t>
            </w:r>
            <w:r w:rsidR="00C27424">
              <w:rPr>
                <w:lang w:val="de-DE"/>
              </w:rPr>
              <w:t xml:space="preserve"> </w:t>
            </w:r>
            <w:r w:rsidR="007D21D5">
              <w:rPr>
                <w:lang w:val="de-DE"/>
              </w:rPr>
              <w:t>die verdoppelte Rezeptionssituation</w:t>
            </w:r>
            <w:r w:rsidR="00083FBE">
              <w:rPr>
                <w:lang w:val="de-DE"/>
              </w:rPr>
              <w:t xml:space="preserve"> im Theater</w:t>
            </w:r>
            <w:r w:rsidR="007D21D5">
              <w:rPr>
                <w:lang w:val="de-DE"/>
              </w:rPr>
              <w:t xml:space="preserve"> fokussiert,</w:t>
            </w:r>
            <w:r w:rsidR="00083FBE">
              <w:rPr>
                <w:lang w:val="de-DE"/>
              </w:rPr>
              <w:t xml:space="preserve"> nach der die Regie zugleich Rezipient des Dramentextes und Produzent eines szenischen Textes ist, der als Lektüre dieses Dramas gelten kann.</w:t>
            </w:r>
            <w:r w:rsidR="007D21D5">
              <w:rPr>
                <w:lang w:val="de-DE"/>
              </w:rPr>
              <w:t xml:space="preserve"> </w:t>
            </w:r>
          </w:p>
          <w:p w:rsidR="00DC5B3B" w:rsidRDefault="00DC5B3B" w:rsidP="00DC5B3B">
            <w:pPr>
              <w:rPr>
                <w:lang w:val="de-DE"/>
              </w:rPr>
            </w:pPr>
          </w:p>
          <w:p w:rsidR="00DC5B3B" w:rsidRPr="00AE45A3" w:rsidRDefault="00DC5B3B" w:rsidP="00DC5B3B">
            <w:pPr>
              <w:rPr>
                <w:lang w:val="de-DE"/>
              </w:rPr>
            </w:pPr>
            <w:r w:rsidRPr="00AE45A3">
              <w:rPr>
                <w:lang w:val="de-DE"/>
              </w:rPr>
              <w:t>Folgende Themen werden behandelt:</w:t>
            </w:r>
          </w:p>
          <w:p w:rsidR="00DC5B3B" w:rsidRDefault="00DC5B3B" w:rsidP="00DC5B3B">
            <w:pPr>
              <w:rPr>
                <w:lang w:val="de-DE"/>
              </w:rPr>
            </w:pPr>
            <w:r>
              <w:rPr>
                <w:lang w:val="de-DE"/>
              </w:rPr>
              <w:t xml:space="preserve">1. </w:t>
            </w:r>
            <w:r w:rsidRPr="00AE45A3">
              <w:rPr>
                <w:lang w:val="de-DE"/>
              </w:rPr>
              <w:t>Einführung, Orientierung</w:t>
            </w:r>
          </w:p>
          <w:p w:rsidR="00DC5B3B" w:rsidRDefault="00DC5B3B" w:rsidP="00DC5B3B">
            <w:pPr>
              <w:rPr>
                <w:lang w:val="de-DE"/>
              </w:rPr>
            </w:pPr>
            <w:r>
              <w:rPr>
                <w:lang w:val="de-DE"/>
              </w:rPr>
              <w:t>2-3. Drama und Theater</w:t>
            </w:r>
          </w:p>
          <w:p w:rsidR="00DC5B3B" w:rsidRDefault="00DC5B3B" w:rsidP="00DC5B3B">
            <w:pPr>
              <w:rPr>
                <w:lang w:val="de-DE"/>
              </w:rPr>
            </w:pPr>
            <w:r>
              <w:rPr>
                <w:lang w:val="de-DE"/>
              </w:rPr>
              <w:t xml:space="preserve">4-5. </w:t>
            </w:r>
            <w:r w:rsidRPr="00DA48E6">
              <w:rPr>
                <w:lang w:val="de-DE"/>
              </w:rPr>
              <w:t>Grundlagen der Text- und Inszenierungsanalyse</w:t>
            </w:r>
          </w:p>
          <w:p w:rsidR="00DC5B3B" w:rsidRPr="00DC5B3B" w:rsidRDefault="00DC5B3B" w:rsidP="00DC5B3B">
            <w:pPr>
              <w:rPr>
                <w:lang w:val="en-US"/>
              </w:rPr>
            </w:pPr>
            <w:r w:rsidRPr="00DC5B3B">
              <w:rPr>
                <w:lang w:val="en-US"/>
              </w:rPr>
              <w:t xml:space="preserve">6. Lessing: </w:t>
            </w:r>
            <w:r w:rsidRPr="00DC5B3B">
              <w:rPr>
                <w:i/>
                <w:iCs/>
                <w:lang w:val="en-US"/>
              </w:rPr>
              <w:t xml:space="preserve">Emilia </w:t>
            </w:r>
            <w:proofErr w:type="spellStart"/>
            <w:r w:rsidRPr="00DC5B3B">
              <w:rPr>
                <w:i/>
                <w:iCs/>
                <w:lang w:val="en-US"/>
              </w:rPr>
              <w:t>Galotti</w:t>
            </w:r>
            <w:proofErr w:type="spellEnd"/>
          </w:p>
          <w:p w:rsidR="00DC5B3B" w:rsidRDefault="00DC5B3B" w:rsidP="00DC5B3B">
            <w:pPr>
              <w:rPr>
                <w:lang w:val="de-DE"/>
              </w:rPr>
            </w:pPr>
            <w:r w:rsidRPr="00DC5B3B">
              <w:rPr>
                <w:lang w:val="en-US"/>
              </w:rPr>
              <w:t xml:space="preserve">7. Lessing: </w:t>
            </w:r>
            <w:r w:rsidRPr="00DC5B3B">
              <w:rPr>
                <w:i/>
                <w:iCs/>
                <w:lang w:val="en-US"/>
              </w:rPr>
              <w:t xml:space="preserve">Emilia </w:t>
            </w:r>
            <w:proofErr w:type="spellStart"/>
            <w:r w:rsidRPr="00DC5B3B">
              <w:rPr>
                <w:i/>
                <w:iCs/>
                <w:lang w:val="en-US"/>
              </w:rPr>
              <w:t>Galotti</w:t>
            </w:r>
            <w:proofErr w:type="spellEnd"/>
            <w:r w:rsidRPr="00DC5B3B">
              <w:rPr>
                <w:lang w:val="en-US"/>
              </w:rPr>
              <w:t xml:space="preserve">. </w:t>
            </w:r>
            <w:r w:rsidRPr="00DA48E6">
              <w:rPr>
                <w:lang w:val="de-DE"/>
              </w:rPr>
              <w:t>Deutsches Theater Berlin, 2002, R: Michael Thalheimer</w:t>
            </w:r>
          </w:p>
          <w:p w:rsidR="00DC5B3B" w:rsidRDefault="00DC5B3B" w:rsidP="00DC5B3B">
            <w:pPr>
              <w:rPr>
                <w:lang w:val="de-DE"/>
              </w:rPr>
            </w:pPr>
            <w:r>
              <w:rPr>
                <w:lang w:val="de-DE"/>
              </w:rPr>
              <w:t xml:space="preserve">8. Henrik Ibsen: </w:t>
            </w:r>
            <w:r w:rsidRPr="003E4851">
              <w:rPr>
                <w:i/>
                <w:iCs/>
                <w:lang w:val="de-DE"/>
              </w:rPr>
              <w:t>Ein Volksfeind</w:t>
            </w:r>
          </w:p>
          <w:p w:rsidR="00DC5B3B" w:rsidRDefault="00DC5B3B" w:rsidP="00DC5B3B">
            <w:pPr>
              <w:rPr>
                <w:lang w:val="de-DE"/>
              </w:rPr>
            </w:pPr>
            <w:r>
              <w:rPr>
                <w:lang w:val="de-DE"/>
              </w:rPr>
              <w:t xml:space="preserve">9. </w:t>
            </w:r>
            <w:r w:rsidRPr="00DA48E6">
              <w:rPr>
                <w:lang w:val="de-DE"/>
              </w:rPr>
              <w:t xml:space="preserve">Henrik Ibsen: </w:t>
            </w:r>
            <w:r w:rsidRPr="003E4851">
              <w:rPr>
                <w:i/>
                <w:iCs/>
                <w:lang w:val="de-DE"/>
              </w:rPr>
              <w:t>Ein Volksfeind</w:t>
            </w:r>
            <w:r>
              <w:rPr>
                <w:lang w:val="de-DE"/>
              </w:rPr>
              <w:t xml:space="preserve">. </w:t>
            </w:r>
            <w:r w:rsidRPr="00DA48E6">
              <w:rPr>
                <w:lang w:val="de-DE"/>
              </w:rPr>
              <w:t xml:space="preserve">Schaubühne am </w:t>
            </w:r>
            <w:proofErr w:type="spellStart"/>
            <w:r w:rsidRPr="00DA48E6">
              <w:rPr>
                <w:lang w:val="de-DE"/>
              </w:rPr>
              <w:t>Lehniner</w:t>
            </w:r>
            <w:proofErr w:type="spellEnd"/>
            <w:r w:rsidRPr="00DA48E6">
              <w:rPr>
                <w:lang w:val="de-DE"/>
              </w:rPr>
              <w:t xml:space="preserve"> Platz, 2012, R: Thomas Ostermeier</w:t>
            </w:r>
          </w:p>
          <w:p w:rsidR="00DC5B3B" w:rsidRDefault="00DC5B3B" w:rsidP="00DC5B3B">
            <w:pPr>
              <w:rPr>
                <w:lang w:val="de-DE"/>
              </w:rPr>
            </w:pPr>
            <w:r>
              <w:rPr>
                <w:lang w:val="de-DE"/>
              </w:rPr>
              <w:t xml:space="preserve">10. </w:t>
            </w:r>
            <w:r w:rsidRPr="00DA48E6">
              <w:rPr>
                <w:lang w:val="de-DE"/>
              </w:rPr>
              <w:t xml:space="preserve">Goethe: </w:t>
            </w:r>
            <w:r w:rsidRPr="003E4851">
              <w:rPr>
                <w:i/>
                <w:iCs/>
                <w:lang w:val="de-DE"/>
              </w:rPr>
              <w:t>Faust I.</w:t>
            </w:r>
          </w:p>
          <w:p w:rsidR="00DC5B3B" w:rsidRDefault="00DC5B3B" w:rsidP="00DC5B3B">
            <w:pPr>
              <w:rPr>
                <w:lang w:val="de-DE"/>
              </w:rPr>
            </w:pPr>
            <w:r>
              <w:rPr>
                <w:lang w:val="de-DE"/>
              </w:rPr>
              <w:t xml:space="preserve">11. </w:t>
            </w:r>
            <w:r w:rsidRPr="00DA48E6">
              <w:rPr>
                <w:lang w:val="de-DE"/>
              </w:rPr>
              <w:t xml:space="preserve">Goethe: </w:t>
            </w:r>
            <w:r w:rsidRPr="003E4851">
              <w:rPr>
                <w:i/>
                <w:iCs/>
                <w:lang w:val="de-DE"/>
              </w:rPr>
              <w:t>Faust I.</w:t>
            </w:r>
            <w:r w:rsidRPr="00DA48E6">
              <w:rPr>
                <w:lang w:val="de-DE"/>
              </w:rPr>
              <w:t xml:space="preserve"> Deutsches Theater Berlin,</w:t>
            </w:r>
            <w:r>
              <w:rPr>
                <w:lang w:val="de-DE"/>
              </w:rPr>
              <w:t xml:space="preserve"> 2004,</w:t>
            </w:r>
            <w:r w:rsidRPr="00DA48E6">
              <w:rPr>
                <w:lang w:val="de-DE"/>
              </w:rPr>
              <w:t xml:space="preserve"> R: Michael Thalheimer</w:t>
            </w:r>
          </w:p>
          <w:p w:rsidR="00DC5B3B" w:rsidRDefault="00DC5B3B" w:rsidP="00DC5B3B">
            <w:pPr>
              <w:rPr>
                <w:lang w:val="de-DE"/>
              </w:rPr>
            </w:pPr>
            <w:r>
              <w:rPr>
                <w:lang w:val="de-DE"/>
              </w:rPr>
              <w:t xml:space="preserve">12. </w:t>
            </w:r>
            <w:proofErr w:type="spellStart"/>
            <w:r w:rsidRPr="00DA48E6">
              <w:rPr>
                <w:lang w:val="de-DE"/>
              </w:rPr>
              <w:t>Ödön</w:t>
            </w:r>
            <w:proofErr w:type="spellEnd"/>
            <w:r w:rsidRPr="00DA48E6">
              <w:rPr>
                <w:lang w:val="de-DE"/>
              </w:rPr>
              <w:t xml:space="preserve"> von Horváth: </w:t>
            </w:r>
            <w:r w:rsidRPr="00F47656">
              <w:rPr>
                <w:i/>
                <w:iCs/>
                <w:lang w:val="de-DE"/>
              </w:rPr>
              <w:t>Kasimir und Karoline</w:t>
            </w:r>
          </w:p>
          <w:p w:rsidR="00DC5B3B" w:rsidRDefault="00DC5B3B" w:rsidP="00DC5B3B">
            <w:pPr>
              <w:rPr>
                <w:lang w:val="de-DE"/>
              </w:rPr>
            </w:pPr>
            <w:r>
              <w:rPr>
                <w:lang w:val="de-DE"/>
              </w:rPr>
              <w:t xml:space="preserve">13. </w:t>
            </w:r>
            <w:proofErr w:type="spellStart"/>
            <w:r w:rsidRPr="00DA48E6">
              <w:rPr>
                <w:lang w:val="de-DE"/>
              </w:rPr>
              <w:t>Ödön</w:t>
            </w:r>
            <w:proofErr w:type="spellEnd"/>
            <w:r w:rsidRPr="00DA48E6">
              <w:rPr>
                <w:lang w:val="de-DE"/>
              </w:rPr>
              <w:t xml:space="preserve"> von Horváth: </w:t>
            </w:r>
            <w:r w:rsidRPr="00F47656">
              <w:rPr>
                <w:i/>
                <w:iCs/>
                <w:lang w:val="de-DE"/>
              </w:rPr>
              <w:t>Kasimir und Karoline</w:t>
            </w:r>
            <w:r>
              <w:rPr>
                <w:lang w:val="de-DE"/>
              </w:rPr>
              <w:t>.</w:t>
            </w:r>
            <w:r w:rsidRPr="00DA48E6">
              <w:rPr>
                <w:lang w:val="de-DE"/>
              </w:rPr>
              <w:t xml:space="preserve"> Schauspiel Leipzig, 2017, R: Enrico Lübbe</w:t>
            </w:r>
          </w:p>
          <w:p w:rsidR="00DC5B3B" w:rsidRPr="00AE45A3" w:rsidRDefault="00DC5B3B" w:rsidP="00DC5B3B">
            <w:pPr>
              <w:rPr>
                <w:lang w:val="de-DE"/>
              </w:rPr>
            </w:pPr>
            <w:r>
              <w:rPr>
                <w:lang w:val="de-DE"/>
              </w:rPr>
              <w:t>14. Zusammenfassung</w:t>
            </w:r>
          </w:p>
          <w:p w:rsidR="00DC5B3B" w:rsidRPr="00DC5B3B" w:rsidRDefault="00DC5B3B" w:rsidP="00DC5B3B">
            <w:pPr>
              <w:rPr>
                <w:b/>
                <w:bCs/>
                <w:i/>
                <w:iCs/>
                <w:u w:val="single"/>
                <w:lang w:val="de-DE"/>
              </w:rPr>
            </w:pPr>
            <w:bookmarkStart w:id="0" w:name="_v1d72ekn8sjs" w:colFirst="0" w:colLast="0"/>
            <w:bookmarkEnd w:id="0"/>
          </w:p>
          <w:p w:rsidR="00DC5B3B" w:rsidRPr="00DC5B3B" w:rsidRDefault="00DC5B3B" w:rsidP="00DC5B3B">
            <w:pPr>
              <w:rPr>
                <w:lang w:val="de-DE"/>
              </w:rPr>
            </w:pPr>
            <w:bookmarkStart w:id="1" w:name="_aoeccwwmng4p" w:colFirst="0" w:colLast="0"/>
            <w:bookmarkEnd w:id="1"/>
            <w:r w:rsidRPr="00DC5B3B">
              <w:rPr>
                <w:rFonts w:eastAsia="Arial Unicode MS"/>
                <w:b/>
                <w:bCs/>
                <w:i/>
                <w:iCs/>
                <w:u w:val="single"/>
                <w:lang w:val="de-DE"/>
              </w:rPr>
              <w:t>Pflichtliteratur</w:t>
            </w:r>
          </w:p>
          <w:p w:rsidR="00DC5B3B" w:rsidRPr="00AE45A3" w:rsidRDefault="00DC5B3B" w:rsidP="00DC5B3B">
            <w:pPr>
              <w:jc w:val="both"/>
              <w:rPr>
                <w:lang w:val="de-DE"/>
              </w:rPr>
            </w:pPr>
            <w:r w:rsidRPr="00AE45A3">
              <w:rPr>
                <w:lang w:val="de-DE"/>
              </w:rPr>
              <w:t xml:space="preserve">Ibsen, Henrik: </w:t>
            </w:r>
            <w:r w:rsidRPr="00AE45A3">
              <w:rPr>
                <w:i/>
                <w:lang w:val="de-DE"/>
              </w:rPr>
              <w:t>Ein Volksfeind. Schauspiel in fünf Akten</w:t>
            </w:r>
            <w:r w:rsidRPr="00AE45A3">
              <w:rPr>
                <w:lang w:val="de-DE"/>
              </w:rPr>
              <w:t>. Stuttgart: Reclam 1999.</w:t>
            </w:r>
          </w:p>
          <w:p w:rsidR="00DC5B3B" w:rsidRPr="00AE45A3" w:rsidRDefault="00DC5B3B" w:rsidP="00DC5B3B">
            <w:pPr>
              <w:jc w:val="both"/>
              <w:rPr>
                <w:lang w:val="de-DE"/>
              </w:rPr>
            </w:pPr>
            <w:r w:rsidRPr="00E34DBF">
              <w:rPr>
                <w:lang w:val="en-US"/>
              </w:rPr>
              <w:t xml:space="preserve">Lessing, G. E.: </w:t>
            </w:r>
            <w:r w:rsidRPr="00E34DBF">
              <w:rPr>
                <w:i/>
                <w:lang w:val="en-US"/>
              </w:rPr>
              <w:t xml:space="preserve">Emilia </w:t>
            </w:r>
            <w:proofErr w:type="spellStart"/>
            <w:r w:rsidRPr="00E34DBF">
              <w:rPr>
                <w:i/>
                <w:lang w:val="en-US"/>
              </w:rPr>
              <w:t>Galotti</w:t>
            </w:r>
            <w:proofErr w:type="spellEnd"/>
            <w:r w:rsidRPr="00E34DBF">
              <w:rPr>
                <w:lang w:val="en-US"/>
              </w:rPr>
              <w:t xml:space="preserve">. </w:t>
            </w:r>
            <w:r w:rsidRPr="00AE45A3">
              <w:rPr>
                <w:lang w:val="de-DE"/>
              </w:rPr>
              <w:t>Stuttgart: Reclam 1994.</w:t>
            </w:r>
          </w:p>
          <w:p w:rsidR="00DC5B3B" w:rsidRPr="00AE45A3" w:rsidRDefault="00DC5B3B" w:rsidP="00DC5B3B">
            <w:pPr>
              <w:jc w:val="both"/>
              <w:rPr>
                <w:lang w:val="de-DE"/>
              </w:rPr>
            </w:pPr>
            <w:r w:rsidRPr="00AE45A3">
              <w:rPr>
                <w:lang w:val="de-DE"/>
              </w:rPr>
              <w:t xml:space="preserve">Goethe, Johann Wolfgang: </w:t>
            </w:r>
            <w:r w:rsidRPr="00DC5B3B">
              <w:rPr>
                <w:i/>
                <w:iCs/>
                <w:lang w:val="de-DE"/>
              </w:rPr>
              <w:t>Faust. Der Tragödie Erster Teil</w:t>
            </w:r>
            <w:r w:rsidRPr="00AE45A3">
              <w:rPr>
                <w:lang w:val="de-DE"/>
              </w:rPr>
              <w:t>. Stuttgart: Reclam 2000.</w:t>
            </w:r>
          </w:p>
          <w:p w:rsidR="00DC5B3B" w:rsidRPr="00AE45A3" w:rsidRDefault="00DC5B3B" w:rsidP="00DC5B3B">
            <w:pPr>
              <w:jc w:val="both"/>
              <w:rPr>
                <w:lang w:val="de-DE"/>
              </w:rPr>
            </w:pPr>
            <w:r w:rsidRPr="00AE45A3">
              <w:rPr>
                <w:lang w:val="de-DE"/>
              </w:rPr>
              <w:t xml:space="preserve">Horváth, </w:t>
            </w:r>
            <w:proofErr w:type="spellStart"/>
            <w:r w:rsidRPr="00AE45A3">
              <w:rPr>
                <w:lang w:val="de-DE"/>
              </w:rPr>
              <w:t>Ödön</w:t>
            </w:r>
            <w:proofErr w:type="spellEnd"/>
            <w:r w:rsidRPr="00AE45A3">
              <w:rPr>
                <w:lang w:val="de-DE"/>
              </w:rPr>
              <w:t xml:space="preserve"> von: Kasimir und Karoline. </w:t>
            </w:r>
            <w:r>
              <w:rPr>
                <w:lang w:val="de-DE"/>
              </w:rPr>
              <w:t>Suhrkamp 2008</w:t>
            </w:r>
          </w:p>
          <w:p w:rsidR="00DC5B3B" w:rsidRPr="00AE45A3" w:rsidRDefault="00DC5B3B" w:rsidP="00DC5B3B">
            <w:pPr>
              <w:jc w:val="both"/>
              <w:rPr>
                <w:lang w:val="de-DE"/>
              </w:rPr>
            </w:pPr>
            <w:proofErr w:type="spellStart"/>
            <w:r w:rsidRPr="00AE45A3">
              <w:rPr>
                <w:lang w:val="de-DE"/>
              </w:rPr>
              <w:t>Schößler</w:t>
            </w:r>
            <w:proofErr w:type="spellEnd"/>
            <w:r w:rsidRPr="00AE45A3">
              <w:rPr>
                <w:lang w:val="de-DE"/>
              </w:rPr>
              <w:t xml:space="preserve">, Franziska: </w:t>
            </w:r>
            <w:r w:rsidRPr="00AE45A3">
              <w:rPr>
                <w:i/>
                <w:lang w:val="de-DE"/>
              </w:rPr>
              <w:t>Einführung in die Dramenanalyse</w:t>
            </w:r>
            <w:r w:rsidRPr="00AE45A3">
              <w:rPr>
                <w:lang w:val="de-DE"/>
              </w:rPr>
              <w:t xml:space="preserve">. 2. </w:t>
            </w:r>
            <w:proofErr w:type="spellStart"/>
            <w:r w:rsidRPr="00AE45A3">
              <w:rPr>
                <w:lang w:val="de-DE"/>
              </w:rPr>
              <w:t>erw</w:t>
            </w:r>
            <w:proofErr w:type="spellEnd"/>
            <w:r w:rsidRPr="00AE45A3">
              <w:rPr>
                <w:lang w:val="de-DE"/>
              </w:rPr>
              <w:t>. Aufl., Stuttgart: Metzler 2017, S. 1-17.</w:t>
            </w:r>
          </w:p>
          <w:p w:rsidR="00DC5B3B" w:rsidRPr="00AE45A3" w:rsidRDefault="00DC5B3B" w:rsidP="00DC5B3B">
            <w:pPr>
              <w:jc w:val="both"/>
              <w:rPr>
                <w:lang w:val="de-DE"/>
              </w:rPr>
            </w:pPr>
            <w:proofErr w:type="spellStart"/>
            <w:r w:rsidRPr="00AE45A3">
              <w:rPr>
                <w:lang w:val="de-DE"/>
              </w:rPr>
              <w:t>Balme</w:t>
            </w:r>
            <w:proofErr w:type="spellEnd"/>
            <w:r w:rsidRPr="00AE45A3">
              <w:rPr>
                <w:lang w:val="de-DE"/>
              </w:rPr>
              <w:t xml:space="preserve">, Christopher: </w:t>
            </w:r>
            <w:r w:rsidRPr="00AE45A3">
              <w:rPr>
                <w:i/>
                <w:lang w:val="de-DE"/>
              </w:rPr>
              <w:t>Einführung in die Theaterwissenschaft</w:t>
            </w:r>
            <w:r w:rsidRPr="00AE45A3">
              <w:rPr>
                <w:lang w:val="de-DE"/>
              </w:rPr>
              <w:t xml:space="preserve">, 5. </w:t>
            </w:r>
            <w:proofErr w:type="spellStart"/>
            <w:r w:rsidRPr="00AE45A3">
              <w:rPr>
                <w:lang w:val="de-DE"/>
              </w:rPr>
              <w:t>erw</w:t>
            </w:r>
            <w:proofErr w:type="spellEnd"/>
            <w:r w:rsidRPr="00AE45A3">
              <w:rPr>
                <w:lang w:val="de-DE"/>
              </w:rPr>
              <w:t>. Aufl., Berlin: Erich Schmidt Verlag 2014, S. 85-95.</w:t>
            </w:r>
          </w:p>
          <w:p w:rsidR="00DC5B3B" w:rsidRPr="00AE45A3" w:rsidRDefault="00DC5B3B" w:rsidP="00DC5B3B">
            <w:pPr>
              <w:jc w:val="both"/>
              <w:rPr>
                <w:lang w:val="de-DE"/>
              </w:rPr>
            </w:pPr>
            <w:r w:rsidRPr="00AE45A3">
              <w:rPr>
                <w:lang w:val="de-DE"/>
              </w:rPr>
              <w:t xml:space="preserve">Fischer-Lichte, Erika: </w:t>
            </w:r>
            <w:r w:rsidRPr="00AE45A3">
              <w:rPr>
                <w:i/>
                <w:lang w:val="de-DE"/>
              </w:rPr>
              <w:t>Was ist eine „werkgetreue“ Inszenierung? Überlegungen zum Prozess der Transformation eines Dramas in eine Aufführung</w:t>
            </w:r>
            <w:r w:rsidRPr="00AE45A3">
              <w:rPr>
                <w:lang w:val="de-DE"/>
              </w:rPr>
              <w:t>. In: Erika Fischer-Lichte (</w:t>
            </w:r>
            <w:proofErr w:type="spellStart"/>
            <w:r w:rsidRPr="00AE45A3">
              <w:rPr>
                <w:lang w:val="de-DE"/>
              </w:rPr>
              <w:t>Hg</w:t>
            </w:r>
            <w:proofErr w:type="spellEnd"/>
            <w:r w:rsidRPr="00AE45A3">
              <w:rPr>
                <w:lang w:val="de-DE"/>
              </w:rPr>
              <w:t xml:space="preserve">.): </w:t>
            </w:r>
            <w:r w:rsidRPr="00AE45A3">
              <w:rPr>
                <w:i/>
                <w:lang w:val="de-DE"/>
              </w:rPr>
              <w:t>Das Drama und seine Inszenierung</w:t>
            </w:r>
            <w:r w:rsidRPr="00AE45A3">
              <w:rPr>
                <w:lang w:val="de-DE"/>
              </w:rPr>
              <w:t>. Tübingen: Niemeyer 1985, S. 37-49.</w:t>
            </w:r>
          </w:p>
          <w:p w:rsidR="00DC5B3B" w:rsidRPr="00AE45A3" w:rsidRDefault="00DC5B3B" w:rsidP="00DC5B3B">
            <w:pPr>
              <w:jc w:val="both"/>
              <w:rPr>
                <w:lang w:val="de-DE"/>
              </w:rPr>
            </w:pPr>
          </w:p>
          <w:p w:rsidR="00DC5B3B" w:rsidRPr="00DC5B3B" w:rsidRDefault="00DC5B3B" w:rsidP="00DC5B3B">
            <w:pPr>
              <w:rPr>
                <w:b/>
                <w:bCs/>
                <w:i/>
                <w:iCs/>
                <w:u w:val="single"/>
                <w:lang w:val="de-DE"/>
              </w:rPr>
            </w:pPr>
            <w:bookmarkStart w:id="2" w:name="_5pvgtzhk0rzl" w:colFirst="0" w:colLast="0"/>
            <w:bookmarkEnd w:id="2"/>
            <w:r w:rsidRPr="00DC5B3B">
              <w:rPr>
                <w:rFonts w:eastAsia="Arial Unicode MS"/>
                <w:b/>
                <w:bCs/>
                <w:i/>
                <w:iCs/>
                <w:u w:val="single"/>
                <w:lang w:val="de-DE"/>
              </w:rPr>
              <w:t>Inszenierungsmitschnitte</w:t>
            </w:r>
          </w:p>
          <w:p w:rsidR="00DC5B3B" w:rsidRPr="00AE45A3" w:rsidRDefault="00DC5B3B" w:rsidP="00DC5B3B">
            <w:pPr>
              <w:jc w:val="both"/>
              <w:rPr>
                <w:lang w:val="de-DE"/>
              </w:rPr>
            </w:pPr>
            <w:r w:rsidRPr="00AE45A3">
              <w:rPr>
                <w:lang w:val="de-DE"/>
              </w:rPr>
              <w:t xml:space="preserve">Lessing: </w:t>
            </w:r>
            <w:r w:rsidRPr="00AE45A3">
              <w:rPr>
                <w:i/>
                <w:lang w:val="de-DE"/>
              </w:rPr>
              <w:t xml:space="preserve">Emilia </w:t>
            </w:r>
            <w:proofErr w:type="spellStart"/>
            <w:r w:rsidRPr="00AE45A3">
              <w:rPr>
                <w:i/>
                <w:lang w:val="de-DE"/>
              </w:rPr>
              <w:t>Galotti</w:t>
            </w:r>
            <w:proofErr w:type="spellEnd"/>
            <w:r w:rsidRPr="00AE45A3">
              <w:rPr>
                <w:lang w:val="de-DE"/>
              </w:rPr>
              <w:t>. R: Michael Thalheimer, Deutsches Theater Berlin, 2002.</w:t>
            </w:r>
          </w:p>
          <w:p w:rsidR="00DC5B3B" w:rsidRPr="00AE45A3" w:rsidRDefault="00DC5B3B" w:rsidP="00DC5B3B">
            <w:pPr>
              <w:rPr>
                <w:lang w:val="de-DE"/>
              </w:rPr>
            </w:pPr>
            <w:r w:rsidRPr="00AE45A3">
              <w:rPr>
                <w:lang w:val="de-DE"/>
              </w:rPr>
              <w:t xml:space="preserve">Henrik Ibsen: </w:t>
            </w:r>
            <w:r w:rsidRPr="00AE45A3">
              <w:rPr>
                <w:i/>
                <w:lang w:val="de-DE"/>
              </w:rPr>
              <w:t>Ein Volksfeind</w:t>
            </w:r>
            <w:r w:rsidRPr="00AE45A3">
              <w:rPr>
                <w:lang w:val="de-DE"/>
              </w:rPr>
              <w:t xml:space="preserve">. R: Thomas Ostermeier, Schaubühne am </w:t>
            </w:r>
            <w:proofErr w:type="spellStart"/>
            <w:r w:rsidRPr="00AE45A3">
              <w:rPr>
                <w:lang w:val="de-DE"/>
              </w:rPr>
              <w:t>Lehniner</w:t>
            </w:r>
            <w:proofErr w:type="spellEnd"/>
            <w:r w:rsidRPr="00AE45A3">
              <w:rPr>
                <w:lang w:val="de-DE"/>
              </w:rPr>
              <w:t xml:space="preserve"> Platz, 2012. </w:t>
            </w:r>
          </w:p>
          <w:p w:rsidR="00DC5B3B" w:rsidRPr="00AE45A3" w:rsidRDefault="00DC5B3B" w:rsidP="00DC5B3B">
            <w:pPr>
              <w:rPr>
                <w:lang w:val="de-DE"/>
              </w:rPr>
            </w:pPr>
            <w:r w:rsidRPr="00AE45A3">
              <w:rPr>
                <w:lang w:val="de-DE"/>
              </w:rPr>
              <w:t xml:space="preserve">Goethe: </w:t>
            </w:r>
            <w:r w:rsidRPr="00AE45A3">
              <w:rPr>
                <w:i/>
                <w:lang w:val="de-DE"/>
              </w:rPr>
              <w:t>Faust I</w:t>
            </w:r>
            <w:r w:rsidRPr="00AE45A3">
              <w:rPr>
                <w:lang w:val="de-DE"/>
              </w:rPr>
              <w:t>. R: Michael Thalheimer, Deutsches Theater Berlin, 2004.</w:t>
            </w:r>
          </w:p>
          <w:p w:rsidR="00DC5B3B" w:rsidRPr="00AE45A3" w:rsidRDefault="00DC5B3B" w:rsidP="00DC5B3B">
            <w:pPr>
              <w:widowControl w:val="0"/>
              <w:rPr>
                <w:lang w:val="de-DE"/>
              </w:rPr>
            </w:pPr>
            <w:proofErr w:type="spellStart"/>
            <w:r w:rsidRPr="00AE45A3">
              <w:rPr>
                <w:lang w:val="de-DE"/>
              </w:rPr>
              <w:lastRenderedPageBreak/>
              <w:t>Ödön</w:t>
            </w:r>
            <w:proofErr w:type="spellEnd"/>
            <w:r w:rsidRPr="00AE45A3">
              <w:rPr>
                <w:lang w:val="de-DE"/>
              </w:rPr>
              <w:t xml:space="preserve"> von Horváth: </w:t>
            </w:r>
            <w:r w:rsidRPr="00AE45A3">
              <w:rPr>
                <w:i/>
                <w:lang w:val="de-DE"/>
              </w:rPr>
              <w:t>Kasimir und Karoline</w:t>
            </w:r>
            <w:r w:rsidRPr="00AE45A3">
              <w:rPr>
                <w:lang w:val="de-DE"/>
              </w:rPr>
              <w:t>. R: Enrico Lübbe, Schauspiel Leipzig, 2017.</w:t>
            </w:r>
          </w:p>
          <w:p w:rsidR="00084BF2" w:rsidRPr="00B11901" w:rsidRDefault="00084BF2" w:rsidP="00C27424">
            <w:pPr>
              <w:jc w:val="right"/>
              <w:rPr>
                <w:lang w:val="de-DE"/>
              </w:rPr>
            </w:pPr>
          </w:p>
        </w:tc>
      </w:tr>
    </w:tbl>
    <w:p w:rsidR="00B42C68" w:rsidRPr="00B11901" w:rsidRDefault="00B42C68" w:rsidP="00B42C68">
      <w:pPr>
        <w:rPr>
          <w:lang w:val="de-DE"/>
        </w:rPr>
      </w:pPr>
    </w:p>
    <w:p w:rsidR="00B42C68" w:rsidRPr="00B11901" w:rsidRDefault="00B42C68" w:rsidP="00B42C68">
      <w:pPr>
        <w:rPr>
          <w:b/>
          <w:i/>
          <w:u w:val="single"/>
          <w:lang w:val="de-DE"/>
        </w:rPr>
      </w:pPr>
      <w:r w:rsidRPr="00B11901">
        <w:rPr>
          <w:b/>
          <w:i/>
          <w:u w:val="single"/>
          <w:lang w:val="de-DE"/>
        </w:rPr>
        <w:t>Bewertung der Lehrveranstaltung</w:t>
      </w:r>
    </w:p>
    <w:p w:rsidR="00B42C68" w:rsidRPr="00B11901" w:rsidRDefault="00B42C68" w:rsidP="00B42C68">
      <w:pPr>
        <w:rPr>
          <w:lang w:val="de-DE"/>
        </w:rPr>
      </w:pPr>
    </w:p>
    <w:p w:rsidR="00400867" w:rsidRPr="00B11901" w:rsidRDefault="00400867" w:rsidP="00B11901">
      <w:pPr>
        <w:jc w:val="both"/>
        <w:rPr>
          <w:lang w:val="de-DE"/>
        </w:rPr>
      </w:pPr>
      <w:r w:rsidRPr="00B11901">
        <w:rPr>
          <w:lang w:val="de-DE"/>
        </w:rPr>
        <w:t>Aktive Präsenz während des Seminars ist Grundvoraussetzung. Regelmäßige, aktive Teilnahme an den Diskussionen, max. drei Fehlstunden sind erlaubt.</w:t>
      </w:r>
    </w:p>
    <w:p w:rsidR="00B42C68" w:rsidRPr="00B11901" w:rsidRDefault="00400867" w:rsidP="00B11901">
      <w:pPr>
        <w:jc w:val="both"/>
        <w:rPr>
          <w:lang w:val="de-DE"/>
        </w:rPr>
      </w:pPr>
      <w:r w:rsidRPr="00B11901">
        <w:rPr>
          <w:lang w:val="de-DE"/>
        </w:rPr>
        <w:t xml:space="preserve">Hausaufgaben müssen immer für die vorgesehene Sitzung gemacht werden. Eine Umstrukturierung des Seminarprogramms ist nur in begründeten Ausnahmefällen möglich. </w:t>
      </w:r>
    </w:p>
    <w:p w:rsidR="00400867" w:rsidRPr="00B11901" w:rsidRDefault="00400867" w:rsidP="00B11901">
      <w:pPr>
        <w:jc w:val="both"/>
        <w:rPr>
          <w:lang w:val="de-DE"/>
        </w:rPr>
      </w:pPr>
      <w:r w:rsidRPr="00B11901">
        <w:rPr>
          <w:lang w:val="de-DE"/>
        </w:rPr>
        <w:t>Die Anforderungen müssen immer termingerecht geleistet werden. Die jeweiligen Termine sind immer dem aktuellen Seminarprogramm zu entnehmen.</w:t>
      </w:r>
    </w:p>
    <w:p w:rsidR="00DC5B3B" w:rsidRPr="00AE45A3" w:rsidRDefault="00DC5B3B" w:rsidP="00DC5B3B">
      <w:pPr>
        <w:widowControl w:val="0"/>
        <w:rPr>
          <w:lang w:val="de-DE"/>
        </w:rPr>
      </w:pPr>
      <w:r w:rsidRPr="00AE45A3">
        <w:rPr>
          <w:lang w:val="de-DE"/>
        </w:rPr>
        <w:t>Die Gesamtnote setzt sich wie folgt zusammen:</w:t>
      </w:r>
    </w:p>
    <w:p w:rsidR="00DC5B3B" w:rsidRPr="00AE45A3" w:rsidRDefault="00DC5B3B" w:rsidP="00DC5B3B">
      <w:pPr>
        <w:widowControl w:val="0"/>
        <w:numPr>
          <w:ilvl w:val="0"/>
          <w:numId w:val="8"/>
        </w:numPr>
        <w:ind w:right="90"/>
        <w:rPr>
          <w:lang w:val="de-DE"/>
        </w:rPr>
      </w:pPr>
      <w:r w:rsidRPr="00AE45A3">
        <w:rPr>
          <w:lang w:val="de-DE"/>
        </w:rPr>
        <w:t xml:space="preserve">Erinnerungsprotokoll: </w:t>
      </w:r>
      <w:r>
        <w:rPr>
          <w:lang w:val="de-DE"/>
        </w:rPr>
        <w:t>15</w:t>
      </w:r>
      <w:r w:rsidRPr="00AE45A3">
        <w:rPr>
          <w:lang w:val="de-DE"/>
        </w:rPr>
        <w:t xml:space="preserve"> %</w:t>
      </w:r>
    </w:p>
    <w:p w:rsidR="00DC5B3B" w:rsidRPr="00AE45A3" w:rsidRDefault="00DC5B3B" w:rsidP="00DC5B3B">
      <w:pPr>
        <w:widowControl w:val="0"/>
        <w:numPr>
          <w:ilvl w:val="0"/>
          <w:numId w:val="8"/>
        </w:numPr>
        <w:ind w:right="90"/>
        <w:rPr>
          <w:lang w:val="de-DE"/>
        </w:rPr>
      </w:pPr>
      <w:r w:rsidRPr="00AE45A3">
        <w:rPr>
          <w:lang w:val="de-DE"/>
        </w:rPr>
        <w:t xml:space="preserve">Lektüretests: </w:t>
      </w:r>
      <w:r>
        <w:rPr>
          <w:lang w:val="de-DE"/>
        </w:rPr>
        <w:t>45</w:t>
      </w:r>
      <w:r w:rsidRPr="00AE45A3">
        <w:rPr>
          <w:lang w:val="de-DE"/>
        </w:rPr>
        <w:t xml:space="preserve"> %</w:t>
      </w:r>
    </w:p>
    <w:p w:rsidR="00DC5B3B" w:rsidRPr="00AE45A3" w:rsidRDefault="00DC5B3B" w:rsidP="00DC5B3B">
      <w:pPr>
        <w:widowControl w:val="0"/>
        <w:numPr>
          <w:ilvl w:val="0"/>
          <w:numId w:val="8"/>
        </w:numPr>
        <w:ind w:right="90"/>
        <w:rPr>
          <w:lang w:val="de-DE"/>
        </w:rPr>
      </w:pPr>
      <w:r w:rsidRPr="00AE45A3">
        <w:rPr>
          <w:lang w:val="de-DE"/>
        </w:rPr>
        <w:t xml:space="preserve">Mündliche Mitarbeit: </w:t>
      </w:r>
      <w:r>
        <w:rPr>
          <w:lang w:val="de-DE"/>
        </w:rPr>
        <w:t>15</w:t>
      </w:r>
      <w:r w:rsidRPr="00AE45A3">
        <w:rPr>
          <w:lang w:val="de-DE"/>
        </w:rPr>
        <w:t xml:space="preserve"> %</w:t>
      </w:r>
    </w:p>
    <w:p w:rsidR="00DC5B3B" w:rsidRPr="00AE45A3" w:rsidRDefault="00DC5B3B" w:rsidP="00DC5B3B">
      <w:pPr>
        <w:widowControl w:val="0"/>
        <w:numPr>
          <w:ilvl w:val="0"/>
          <w:numId w:val="8"/>
        </w:numPr>
        <w:ind w:right="90"/>
        <w:rPr>
          <w:lang w:val="de-DE"/>
        </w:rPr>
      </w:pPr>
      <w:r w:rsidRPr="00AE45A3">
        <w:rPr>
          <w:lang w:val="de-DE"/>
        </w:rPr>
        <w:t>Impulsreferat: 2</w:t>
      </w:r>
      <w:r>
        <w:rPr>
          <w:lang w:val="de-DE"/>
        </w:rPr>
        <w:t>5</w:t>
      </w:r>
      <w:r w:rsidRPr="00AE45A3">
        <w:rPr>
          <w:lang w:val="de-DE"/>
        </w:rPr>
        <w:t xml:space="preserve"> %</w:t>
      </w:r>
    </w:p>
    <w:p w:rsidR="00D51A9E" w:rsidRPr="00B11901" w:rsidRDefault="00D51A9E" w:rsidP="00DC5B3B">
      <w:pPr>
        <w:rPr>
          <w:lang w:val="de-DE"/>
        </w:rPr>
      </w:pPr>
    </w:p>
    <w:sectPr w:rsidR="00D51A9E" w:rsidRPr="00B11901" w:rsidSect="00D5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1EE"/>
    <w:multiLevelType w:val="hybridMultilevel"/>
    <w:tmpl w:val="765C1014"/>
    <w:lvl w:ilvl="0" w:tplc="040E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286858"/>
    <w:multiLevelType w:val="hybridMultilevel"/>
    <w:tmpl w:val="A5DA126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74289"/>
    <w:multiLevelType w:val="multilevel"/>
    <w:tmpl w:val="EFC8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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43777262"/>
    <w:multiLevelType w:val="hybridMultilevel"/>
    <w:tmpl w:val="D50824B2"/>
    <w:lvl w:ilvl="0" w:tplc="040E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7CE5379"/>
    <w:multiLevelType w:val="hybridMultilevel"/>
    <w:tmpl w:val="1DB88DF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A6426"/>
    <w:multiLevelType w:val="multilevel"/>
    <w:tmpl w:val="A43E9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BE63282"/>
    <w:multiLevelType w:val="multilevel"/>
    <w:tmpl w:val="D152C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36A7174"/>
    <w:multiLevelType w:val="hybridMultilevel"/>
    <w:tmpl w:val="BAEEF7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C01"/>
    <w:rsid w:val="00083FBE"/>
    <w:rsid w:val="00084BF2"/>
    <w:rsid w:val="000C0CCE"/>
    <w:rsid w:val="0010618A"/>
    <w:rsid w:val="00146437"/>
    <w:rsid w:val="00181B53"/>
    <w:rsid w:val="001A14AD"/>
    <w:rsid w:val="00232355"/>
    <w:rsid w:val="00281717"/>
    <w:rsid w:val="003734E2"/>
    <w:rsid w:val="00400867"/>
    <w:rsid w:val="004071DE"/>
    <w:rsid w:val="004B5C01"/>
    <w:rsid w:val="005950E2"/>
    <w:rsid w:val="00602C37"/>
    <w:rsid w:val="00604615"/>
    <w:rsid w:val="00610C0E"/>
    <w:rsid w:val="0069734C"/>
    <w:rsid w:val="00770D9F"/>
    <w:rsid w:val="007D21D5"/>
    <w:rsid w:val="0082288B"/>
    <w:rsid w:val="008C2ABF"/>
    <w:rsid w:val="00903D5F"/>
    <w:rsid w:val="009551AF"/>
    <w:rsid w:val="00995B21"/>
    <w:rsid w:val="009B20FA"/>
    <w:rsid w:val="00A03FC7"/>
    <w:rsid w:val="00A60021"/>
    <w:rsid w:val="00B11901"/>
    <w:rsid w:val="00B42C68"/>
    <w:rsid w:val="00BA1CAC"/>
    <w:rsid w:val="00BF6DDC"/>
    <w:rsid w:val="00C27424"/>
    <w:rsid w:val="00D36A7A"/>
    <w:rsid w:val="00D51A9E"/>
    <w:rsid w:val="00DC5B3B"/>
    <w:rsid w:val="00DF3347"/>
    <w:rsid w:val="00E868C0"/>
    <w:rsid w:val="00F126C7"/>
    <w:rsid w:val="00FA5F05"/>
    <w:rsid w:val="00FC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5B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00867"/>
    <w:pPr>
      <w:widowControl w:val="0"/>
      <w:spacing w:before="240" w:after="240"/>
      <w:outlineLvl w:val="2"/>
    </w:pPr>
    <w:rPr>
      <w:rFonts w:ascii="Verdana" w:eastAsia="Verdana" w:hAnsi="Verdana" w:cs="Verdana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B5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nhideWhenUsed/>
    <w:rsid w:val="00B42C68"/>
    <w:pPr>
      <w:tabs>
        <w:tab w:val="center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536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2"/>
      </w:tabs>
      <w:jc w:val="both"/>
    </w:pPr>
    <w:rPr>
      <w:rFonts w:ascii="Century Schoolbook" w:hAnsi="Century Schoolbook"/>
      <w:sz w:val="20"/>
      <w:szCs w:val="20"/>
      <w:lang w:val="de-DE" w:eastAsia="cs-CZ"/>
    </w:rPr>
  </w:style>
  <w:style w:type="character" w:customStyle="1" w:styleId="lfejChar">
    <w:name w:val="Élőfej Char"/>
    <w:basedOn w:val="Bekezdsalapbettpusa"/>
    <w:link w:val="lfej"/>
    <w:rsid w:val="00B42C68"/>
    <w:rPr>
      <w:rFonts w:ascii="Century Schoolbook" w:eastAsia="Times New Roman" w:hAnsi="Century Schoolbook" w:cs="Times New Roman"/>
      <w:sz w:val="20"/>
      <w:szCs w:val="20"/>
      <w:lang w:val="de-DE" w:eastAsia="cs-CZ"/>
    </w:rPr>
  </w:style>
  <w:style w:type="character" w:styleId="Hiperhivatkozs">
    <w:name w:val="Hyperlink"/>
    <w:basedOn w:val="Bekezdsalapbettpusa"/>
    <w:uiPriority w:val="99"/>
    <w:unhideWhenUsed/>
    <w:rsid w:val="001A14AD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1A14A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A14AD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FC2250"/>
    <w:pPr>
      <w:spacing w:before="100" w:beforeAutospacing="1" w:after="100" w:afterAutospacing="1"/>
    </w:pPr>
    <w:rPr>
      <w:lang w:val="de-AT" w:eastAsia="de-AT"/>
    </w:rPr>
  </w:style>
  <w:style w:type="character" w:customStyle="1" w:styleId="Cmsor3Char">
    <w:name w:val="Címsor 3 Char"/>
    <w:basedOn w:val="Bekezdsalapbettpusa"/>
    <w:link w:val="Cmsor3"/>
    <w:uiPriority w:val="9"/>
    <w:rsid w:val="00400867"/>
    <w:rPr>
      <w:rFonts w:ascii="Verdana" w:eastAsia="Verdana" w:hAnsi="Verdana" w:cs="Verdana"/>
      <w:b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5B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 Orban</dc:creator>
  <cp:lastModifiedBy>user</cp:lastModifiedBy>
  <cp:revision>2</cp:revision>
  <dcterms:created xsi:type="dcterms:W3CDTF">2021-11-11T07:09:00Z</dcterms:created>
  <dcterms:modified xsi:type="dcterms:W3CDTF">2021-11-11T07:09:00Z</dcterms:modified>
</cp:coreProperties>
</file>