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99" w:rsidRPr="001F1BBA" w:rsidRDefault="00261A99" w:rsidP="00261A99">
      <w:pPr>
        <w:rPr>
          <w:b/>
        </w:rPr>
      </w:pPr>
      <w:r w:rsidRPr="001F1BBA">
        <w:rPr>
          <w:b/>
        </w:rPr>
        <w:t xml:space="preserve">Titel der Lehrveranstaltung: </w:t>
      </w:r>
      <w:r w:rsidRPr="00261A99">
        <w:t>Die Semantik des heutigen Deutsch</w:t>
      </w:r>
    </w:p>
    <w:p w:rsidR="00261A99" w:rsidRPr="001F1BBA" w:rsidRDefault="00261A99" w:rsidP="00261A99">
      <w:pPr>
        <w:rPr>
          <w:b/>
        </w:rPr>
      </w:pPr>
    </w:p>
    <w:p w:rsidR="00261A99" w:rsidRPr="001F1BBA" w:rsidRDefault="00261A99" w:rsidP="00261A99">
      <w:pPr>
        <w:rPr>
          <w:b/>
        </w:rPr>
      </w:pPr>
      <w:r w:rsidRPr="001F1BBA">
        <w:rPr>
          <w:b/>
        </w:rPr>
        <w:t xml:space="preserve">Typ der Lehrveranstaltung: </w:t>
      </w:r>
      <w:r w:rsidRPr="001F1BBA">
        <w:t>Seminar</w:t>
      </w:r>
    </w:p>
    <w:p w:rsidR="00261A99" w:rsidRPr="001F1BBA" w:rsidRDefault="00261A99" w:rsidP="00261A99">
      <w:pPr>
        <w:rPr>
          <w:b/>
        </w:rPr>
      </w:pPr>
    </w:p>
    <w:p w:rsidR="00261A99" w:rsidRPr="001F1BBA" w:rsidRDefault="00261A99" w:rsidP="00261A99">
      <w:pPr>
        <w:rPr>
          <w:b/>
        </w:rPr>
      </w:pPr>
    </w:p>
    <w:p w:rsidR="00261A99" w:rsidRPr="001F1BBA" w:rsidRDefault="00261A99" w:rsidP="00261A99">
      <w:pPr>
        <w:rPr>
          <w:b/>
        </w:rPr>
      </w:pPr>
      <w:r w:rsidRPr="001F1BBA">
        <w:rPr>
          <w:b/>
        </w:rPr>
        <w:t xml:space="preserve">Wöchentliche Stundenzahl: </w:t>
      </w:r>
      <w:r w:rsidRPr="001F1BBA">
        <w:t>2</w:t>
      </w:r>
    </w:p>
    <w:p w:rsidR="00261A99" w:rsidRPr="001F1BBA" w:rsidRDefault="00261A99" w:rsidP="00261A99">
      <w:pPr>
        <w:rPr>
          <w:b/>
        </w:rPr>
      </w:pPr>
    </w:p>
    <w:p w:rsidR="00261A99" w:rsidRPr="001F1BBA" w:rsidRDefault="00261A99" w:rsidP="00261A99">
      <w:pPr>
        <w:rPr>
          <w:b/>
        </w:rPr>
      </w:pPr>
    </w:p>
    <w:p w:rsidR="00261A99" w:rsidRPr="00C16ABC" w:rsidRDefault="00261A99" w:rsidP="00261A99">
      <w:pPr>
        <w:rPr>
          <w:lang w:val="hu-HU"/>
        </w:rPr>
      </w:pPr>
      <w:r w:rsidRPr="001F1BBA">
        <w:rPr>
          <w:b/>
        </w:rPr>
        <w:t xml:space="preserve">Bewertung: </w:t>
      </w:r>
      <w:r w:rsidRPr="001F1BBA">
        <w:t>Seminarnote</w:t>
      </w:r>
    </w:p>
    <w:p w:rsidR="000A0940" w:rsidRPr="00A047A2" w:rsidRDefault="000A0940" w:rsidP="000A0940">
      <w:pPr>
        <w:rPr>
          <w:b/>
          <w:lang w:val="hu-HU"/>
        </w:rPr>
      </w:pPr>
    </w:p>
    <w:p w:rsidR="00C16ABC" w:rsidRDefault="00261A99" w:rsidP="00EA00FD">
      <w:pPr>
        <w:tabs>
          <w:tab w:val="left" w:pos="34"/>
        </w:tabs>
        <w:jc w:val="both"/>
        <w:rPr>
          <w:b/>
          <w:lang w:val="hu-HU"/>
        </w:rPr>
      </w:pPr>
      <w:proofErr w:type="spellStart"/>
      <w:r>
        <w:rPr>
          <w:b/>
          <w:lang w:val="hu-HU"/>
        </w:rPr>
        <w:t>Beschreibung</w:t>
      </w:r>
      <w:proofErr w:type="spellEnd"/>
      <w:r w:rsidR="00C16ABC">
        <w:rPr>
          <w:b/>
          <w:lang w:val="hu-HU"/>
        </w:rPr>
        <w:t>:</w:t>
      </w:r>
    </w:p>
    <w:p w:rsidR="00C16ABC" w:rsidRDefault="00C16ABC" w:rsidP="00EA00FD">
      <w:pPr>
        <w:tabs>
          <w:tab w:val="left" w:pos="34"/>
        </w:tabs>
        <w:jc w:val="both"/>
        <w:rPr>
          <w:b/>
          <w:lang w:val="hu-HU"/>
        </w:rPr>
      </w:pPr>
    </w:p>
    <w:p w:rsidR="00C26399" w:rsidRPr="00A1396B" w:rsidRDefault="00BD5F27" w:rsidP="00C16ABC">
      <w:pPr>
        <w:jc w:val="both"/>
        <w:rPr>
          <w:b/>
          <w:lang w:val="hu-HU"/>
        </w:rPr>
      </w:pPr>
      <w:r w:rsidRPr="00575618">
        <w:t>Die Zielsetzung der</w:t>
      </w:r>
      <w:r w:rsidRPr="00575618">
        <w:rPr>
          <w:b/>
        </w:rPr>
        <w:t xml:space="preserve"> </w:t>
      </w:r>
      <w:r w:rsidRPr="00575618">
        <w:t xml:space="preserve">Lehrveranstaltung ist, die Studierenden </w:t>
      </w:r>
      <w:r>
        <w:t>mit den</w:t>
      </w:r>
      <w:r w:rsidRPr="00575618">
        <w:t xml:space="preserve"> </w:t>
      </w:r>
      <w:r>
        <w:t>grundlegenden Phänomenen und Grundbegriffen der Semantik vertraut zu machen, sowie ihnen einen Einblick in die Methoden der semantischen Analyse zu bieten.</w:t>
      </w:r>
      <w:r w:rsidR="00C16ABC">
        <w:rPr>
          <w:b/>
          <w:lang w:val="hu-HU"/>
        </w:rPr>
        <w:t xml:space="preserve"> </w:t>
      </w:r>
      <w:r>
        <w:t xml:space="preserve">Die regelmäßige Teilnahme an den Sitzungen ist obligatorisch, insgesamt </w:t>
      </w:r>
      <w:r w:rsidRPr="00BD5F27">
        <w:rPr>
          <w:b/>
        </w:rPr>
        <w:t>dreimal</w:t>
      </w:r>
      <w:r>
        <w:t xml:space="preserve"> darf man fehlen. Vor der jeweiligen Sitzung müssen die Teilnehmer die Materialien zum gegebenen Thema lesen, bzw. lösen. Die Leistung der Studierenden wird anhand ihrer Aktivität in den Sitzungen, der selbstständig vorbereiteten Hausaufgaben und zweier Kontrollarbeiten bewertet</w:t>
      </w:r>
      <w:r w:rsidRPr="00575618">
        <w:t xml:space="preserve">. </w:t>
      </w:r>
      <w:r>
        <w:t>Bei der Berechnung der Seminarnote zählt die Note der zweiten Kontrollarbeit zweimal.</w:t>
      </w:r>
    </w:p>
    <w:p w:rsidR="000A0940" w:rsidRPr="00D70621" w:rsidRDefault="000A0940" w:rsidP="000A0940">
      <w:pPr>
        <w:rPr>
          <w:b/>
          <w:lang w:val="hu-HU"/>
        </w:rPr>
      </w:pPr>
    </w:p>
    <w:p w:rsidR="000A0940" w:rsidRPr="00D70621" w:rsidRDefault="00BD5F27" w:rsidP="000A0940">
      <w:pPr>
        <w:rPr>
          <w:b/>
          <w:lang w:val="hu-HU"/>
        </w:rPr>
      </w:pPr>
      <w:proofErr w:type="spellStart"/>
      <w:r>
        <w:rPr>
          <w:b/>
          <w:lang w:val="hu-HU"/>
        </w:rPr>
        <w:t>Thematik</w:t>
      </w:r>
      <w:proofErr w:type="spellEnd"/>
      <w:r w:rsidR="000A0940" w:rsidRPr="00D70621">
        <w:rPr>
          <w:b/>
          <w:lang w:val="hu-HU"/>
        </w:rPr>
        <w:t xml:space="preserve">: </w:t>
      </w:r>
    </w:p>
    <w:p w:rsidR="000A0940" w:rsidRPr="00D70621" w:rsidRDefault="000A0940" w:rsidP="000A0940">
      <w:pPr>
        <w:rPr>
          <w:b/>
          <w:lang w:val="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EA00FD" w:rsidRPr="00845EB1" w:rsidTr="00EA00FD">
        <w:tc>
          <w:tcPr>
            <w:tcW w:w="1101" w:type="dxa"/>
            <w:tcBorders>
              <w:top w:val="double" w:sz="6" w:space="0" w:color="000000"/>
              <w:bottom w:val="double" w:sz="6" w:space="0" w:color="auto"/>
            </w:tcBorders>
          </w:tcPr>
          <w:p w:rsidR="00EA00FD" w:rsidRPr="00845EB1" w:rsidRDefault="00BD5F27" w:rsidP="00EA00FD">
            <w:pPr>
              <w:jc w:val="center"/>
              <w:rPr>
                <w:b/>
              </w:rPr>
            </w:pPr>
            <w:r>
              <w:rPr>
                <w:b/>
              </w:rPr>
              <w:t>Woche</w:t>
            </w:r>
          </w:p>
          <w:p w:rsidR="00EA00FD" w:rsidRPr="00845EB1" w:rsidRDefault="00EA00FD" w:rsidP="00EA00FD">
            <w:pPr>
              <w:jc w:val="center"/>
              <w:rPr>
                <w:b/>
              </w:rPr>
            </w:pPr>
          </w:p>
        </w:tc>
        <w:tc>
          <w:tcPr>
            <w:tcW w:w="8127" w:type="dxa"/>
            <w:tcBorders>
              <w:top w:val="double" w:sz="6" w:space="0" w:color="000000"/>
              <w:bottom w:val="double" w:sz="6" w:space="0" w:color="auto"/>
            </w:tcBorders>
          </w:tcPr>
          <w:p w:rsidR="00EA00FD" w:rsidRPr="00845EB1" w:rsidRDefault="00BD5F27" w:rsidP="00EA00FD">
            <w:pPr>
              <w:jc w:val="center"/>
              <w:rPr>
                <w:b/>
              </w:rPr>
            </w:pPr>
            <w:r>
              <w:rPr>
                <w:b/>
              </w:rPr>
              <w:t>Thema</w:t>
            </w:r>
          </w:p>
        </w:tc>
      </w:tr>
      <w:tr w:rsidR="00EA00FD" w:rsidRPr="00845EB1" w:rsidTr="00EA00FD">
        <w:tc>
          <w:tcPr>
            <w:tcW w:w="1101" w:type="dxa"/>
            <w:tcBorders>
              <w:top w:val="double" w:sz="6" w:space="0" w:color="auto"/>
            </w:tcBorders>
          </w:tcPr>
          <w:p w:rsidR="00EA00FD" w:rsidRPr="00845EB1" w:rsidRDefault="00EA00FD" w:rsidP="00EA00FD">
            <w:pPr>
              <w:jc w:val="center"/>
            </w:pPr>
            <w:r w:rsidRPr="00845EB1">
              <w:t>1.</w:t>
            </w:r>
          </w:p>
        </w:tc>
        <w:tc>
          <w:tcPr>
            <w:tcW w:w="8127" w:type="dxa"/>
            <w:tcBorders>
              <w:top w:val="double" w:sz="6" w:space="0" w:color="auto"/>
            </w:tcBorders>
          </w:tcPr>
          <w:p w:rsidR="00EA00FD" w:rsidRPr="00EC5C31" w:rsidRDefault="00BD5F27" w:rsidP="00EA00FD">
            <w:r w:rsidRPr="00575618">
              <w:t>Organisatorisches und Einführung</w:t>
            </w:r>
          </w:p>
        </w:tc>
      </w:tr>
      <w:tr w:rsidR="00EA00FD" w:rsidRPr="00845EB1" w:rsidTr="00EA00FD">
        <w:tc>
          <w:tcPr>
            <w:tcW w:w="1101" w:type="dxa"/>
          </w:tcPr>
          <w:p w:rsidR="00EA00FD" w:rsidRPr="00845EB1" w:rsidRDefault="00EA00FD" w:rsidP="00EA00FD">
            <w:pPr>
              <w:jc w:val="center"/>
            </w:pPr>
            <w:r w:rsidRPr="00845EB1">
              <w:t>2.</w:t>
            </w:r>
          </w:p>
        </w:tc>
        <w:tc>
          <w:tcPr>
            <w:tcW w:w="8127" w:type="dxa"/>
          </w:tcPr>
          <w:p w:rsidR="00EA00FD" w:rsidRPr="00EC5C31" w:rsidRDefault="00BD5F27" w:rsidP="00BD5F27">
            <w:r w:rsidRPr="00575618">
              <w:t>Bedeutung und Semantik (1)</w:t>
            </w:r>
          </w:p>
        </w:tc>
      </w:tr>
      <w:tr w:rsidR="00EA00FD" w:rsidRPr="00845EB1" w:rsidTr="00EA00FD">
        <w:tc>
          <w:tcPr>
            <w:tcW w:w="1101" w:type="dxa"/>
          </w:tcPr>
          <w:p w:rsidR="00EA00FD" w:rsidRPr="00845EB1" w:rsidRDefault="00EA00FD" w:rsidP="00EA00FD">
            <w:pPr>
              <w:jc w:val="center"/>
            </w:pPr>
            <w:r w:rsidRPr="00845EB1">
              <w:t>3.</w:t>
            </w:r>
          </w:p>
        </w:tc>
        <w:tc>
          <w:tcPr>
            <w:tcW w:w="8127" w:type="dxa"/>
          </w:tcPr>
          <w:p w:rsidR="00EA00FD" w:rsidRPr="00EC5C31" w:rsidRDefault="00BD5F27" w:rsidP="00EA00FD">
            <w:r w:rsidRPr="00575618">
              <w:t>Bedeutung und Semantik (2)</w:t>
            </w:r>
          </w:p>
        </w:tc>
      </w:tr>
      <w:tr w:rsidR="00EA00FD" w:rsidRPr="00845EB1" w:rsidTr="00EA00FD">
        <w:tc>
          <w:tcPr>
            <w:tcW w:w="1101" w:type="dxa"/>
          </w:tcPr>
          <w:p w:rsidR="00EA00FD" w:rsidRPr="00845EB1" w:rsidRDefault="00EA00FD" w:rsidP="00EA00FD">
            <w:pPr>
              <w:jc w:val="center"/>
            </w:pPr>
            <w:r w:rsidRPr="00845EB1">
              <w:t>4.</w:t>
            </w:r>
          </w:p>
        </w:tc>
        <w:tc>
          <w:tcPr>
            <w:tcW w:w="8127" w:type="dxa"/>
          </w:tcPr>
          <w:p w:rsidR="00EA00FD" w:rsidRPr="00EC5C31" w:rsidRDefault="00BD5F27" w:rsidP="00EA00FD">
            <w:r w:rsidRPr="00575618">
              <w:t>Dimensionen der Bedeutung (1)</w:t>
            </w:r>
          </w:p>
        </w:tc>
      </w:tr>
      <w:tr w:rsidR="00EA00FD" w:rsidRPr="00845EB1" w:rsidTr="00EA00FD">
        <w:tc>
          <w:tcPr>
            <w:tcW w:w="1101" w:type="dxa"/>
          </w:tcPr>
          <w:p w:rsidR="00EA00FD" w:rsidRPr="00845EB1" w:rsidRDefault="00EA00FD" w:rsidP="00EA00FD">
            <w:pPr>
              <w:jc w:val="center"/>
            </w:pPr>
            <w:r w:rsidRPr="00845EB1">
              <w:t>5.</w:t>
            </w:r>
          </w:p>
        </w:tc>
        <w:tc>
          <w:tcPr>
            <w:tcW w:w="8127" w:type="dxa"/>
          </w:tcPr>
          <w:p w:rsidR="00EA00FD" w:rsidRPr="00EC5C31" w:rsidRDefault="00BD5F27" w:rsidP="00EA00FD">
            <w:r w:rsidRPr="00575618">
              <w:t>Dimensionen der Bedeutung (2)</w:t>
            </w:r>
          </w:p>
        </w:tc>
      </w:tr>
      <w:tr w:rsidR="00EA00FD" w:rsidRPr="00845EB1" w:rsidTr="00EA00FD">
        <w:tc>
          <w:tcPr>
            <w:tcW w:w="1101" w:type="dxa"/>
          </w:tcPr>
          <w:p w:rsidR="00EA00FD" w:rsidRPr="00845EB1" w:rsidRDefault="00EA00FD" w:rsidP="00EA00FD">
            <w:pPr>
              <w:jc w:val="center"/>
            </w:pPr>
            <w:r w:rsidRPr="00845EB1">
              <w:t>6.</w:t>
            </w:r>
          </w:p>
        </w:tc>
        <w:tc>
          <w:tcPr>
            <w:tcW w:w="8127" w:type="dxa"/>
          </w:tcPr>
          <w:p w:rsidR="00EA00FD" w:rsidRPr="00EC5C31" w:rsidRDefault="00BD5F27" w:rsidP="00EA00FD">
            <w:r>
              <w:t>Klausur 1</w:t>
            </w:r>
          </w:p>
        </w:tc>
      </w:tr>
      <w:tr w:rsidR="00EA00FD" w:rsidRPr="00845EB1" w:rsidTr="00EA00FD">
        <w:tc>
          <w:tcPr>
            <w:tcW w:w="1101" w:type="dxa"/>
          </w:tcPr>
          <w:p w:rsidR="00EA00FD" w:rsidRPr="00845EB1" w:rsidRDefault="00EA00FD" w:rsidP="00EA00FD">
            <w:pPr>
              <w:jc w:val="center"/>
            </w:pPr>
            <w:r w:rsidRPr="00845EB1">
              <w:t>7.</w:t>
            </w:r>
          </w:p>
        </w:tc>
        <w:tc>
          <w:tcPr>
            <w:tcW w:w="8127" w:type="dxa"/>
          </w:tcPr>
          <w:p w:rsidR="00EA00FD" w:rsidRPr="00EC5C31" w:rsidRDefault="00BD5F27" w:rsidP="00EA00FD">
            <w:r w:rsidRPr="00575618">
              <w:t>Ambiguität (1)</w:t>
            </w:r>
          </w:p>
        </w:tc>
      </w:tr>
      <w:tr w:rsidR="00EA00FD" w:rsidRPr="00845EB1" w:rsidTr="00EA00FD">
        <w:tc>
          <w:tcPr>
            <w:tcW w:w="1101" w:type="dxa"/>
          </w:tcPr>
          <w:p w:rsidR="00EA00FD" w:rsidRPr="00845EB1" w:rsidRDefault="00EA00FD" w:rsidP="00EA00FD">
            <w:pPr>
              <w:ind w:left="360"/>
            </w:pPr>
            <w:r w:rsidRPr="00845EB1">
              <w:t>8.</w:t>
            </w:r>
          </w:p>
        </w:tc>
        <w:tc>
          <w:tcPr>
            <w:tcW w:w="8127" w:type="dxa"/>
          </w:tcPr>
          <w:p w:rsidR="00EA00FD" w:rsidRPr="00EC5C31" w:rsidRDefault="00BD5F27" w:rsidP="00BD5F27">
            <w:r w:rsidRPr="00575618">
              <w:t>Ambiguität (</w:t>
            </w:r>
            <w:r>
              <w:t>2</w:t>
            </w:r>
            <w:r w:rsidRPr="00575618">
              <w:t>)</w:t>
            </w:r>
          </w:p>
        </w:tc>
      </w:tr>
      <w:tr w:rsidR="00EA00FD" w:rsidRPr="00845EB1" w:rsidTr="00EA00FD">
        <w:tc>
          <w:tcPr>
            <w:tcW w:w="1101" w:type="dxa"/>
          </w:tcPr>
          <w:p w:rsidR="00EA00FD" w:rsidRPr="00845EB1" w:rsidRDefault="00EA00FD" w:rsidP="00EA00FD">
            <w:pPr>
              <w:jc w:val="center"/>
            </w:pPr>
            <w:r w:rsidRPr="00845EB1">
              <w:t>9.</w:t>
            </w:r>
          </w:p>
        </w:tc>
        <w:tc>
          <w:tcPr>
            <w:tcW w:w="8127" w:type="dxa"/>
          </w:tcPr>
          <w:p w:rsidR="00EA00FD" w:rsidRPr="00EC5C31" w:rsidRDefault="00BD5F27" w:rsidP="00EA00FD">
            <w:r w:rsidRPr="00575618">
              <w:t xml:space="preserve">Bedeutungsbeziehungen </w:t>
            </w:r>
            <w:r w:rsidR="00C16ABC">
              <w:t>(1)</w:t>
            </w:r>
          </w:p>
        </w:tc>
      </w:tr>
      <w:tr w:rsidR="00EA00FD" w:rsidRPr="00845EB1" w:rsidTr="00EA00FD">
        <w:tc>
          <w:tcPr>
            <w:tcW w:w="1101" w:type="dxa"/>
          </w:tcPr>
          <w:p w:rsidR="00EA00FD" w:rsidRPr="00845EB1" w:rsidRDefault="00EA00FD" w:rsidP="00EA00FD">
            <w:pPr>
              <w:jc w:val="center"/>
            </w:pPr>
            <w:r w:rsidRPr="00845EB1">
              <w:t>10.</w:t>
            </w:r>
          </w:p>
        </w:tc>
        <w:tc>
          <w:tcPr>
            <w:tcW w:w="8127" w:type="dxa"/>
          </w:tcPr>
          <w:p w:rsidR="00EA00FD" w:rsidRPr="00EC5C31" w:rsidRDefault="00BD5F27" w:rsidP="00EA00FD">
            <w:r w:rsidRPr="00575618">
              <w:t xml:space="preserve">Bedeutungsbeziehungen </w:t>
            </w:r>
            <w:r w:rsidR="00C16ABC">
              <w:t>(2)</w:t>
            </w:r>
          </w:p>
        </w:tc>
      </w:tr>
      <w:tr w:rsidR="00EA00FD" w:rsidRPr="00845EB1" w:rsidTr="00EA00FD">
        <w:tc>
          <w:tcPr>
            <w:tcW w:w="1101" w:type="dxa"/>
          </w:tcPr>
          <w:p w:rsidR="00EA00FD" w:rsidRPr="00845EB1" w:rsidRDefault="00EA00FD" w:rsidP="00EA00FD">
            <w:pPr>
              <w:jc w:val="center"/>
            </w:pPr>
            <w:r w:rsidRPr="00845EB1">
              <w:t>11.</w:t>
            </w:r>
          </w:p>
        </w:tc>
        <w:tc>
          <w:tcPr>
            <w:tcW w:w="8127" w:type="dxa"/>
          </w:tcPr>
          <w:p w:rsidR="00EA00FD" w:rsidRPr="00EC5C31" w:rsidRDefault="00BD5F27" w:rsidP="00EA00FD">
            <w:r>
              <w:t xml:space="preserve">Bedeutung und Kognition </w:t>
            </w:r>
            <w:r w:rsidR="00C16ABC">
              <w:t>(1)</w:t>
            </w:r>
          </w:p>
        </w:tc>
      </w:tr>
      <w:tr w:rsidR="00EA00FD" w:rsidRPr="00845EB1" w:rsidTr="00EA00FD">
        <w:tc>
          <w:tcPr>
            <w:tcW w:w="1101" w:type="dxa"/>
          </w:tcPr>
          <w:p w:rsidR="00EA00FD" w:rsidRPr="00845EB1" w:rsidRDefault="00EA00FD" w:rsidP="00EA00FD">
            <w:pPr>
              <w:jc w:val="center"/>
            </w:pPr>
            <w:r w:rsidRPr="00845EB1">
              <w:t>12.</w:t>
            </w:r>
          </w:p>
        </w:tc>
        <w:tc>
          <w:tcPr>
            <w:tcW w:w="8127" w:type="dxa"/>
          </w:tcPr>
          <w:p w:rsidR="00EA00FD" w:rsidRPr="00EC5C31" w:rsidRDefault="00BD5F27" w:rsidP="00EA00FD">
            <w:r>
              <w:t xml:space="preserve">Bedeutung und Kognition </w:t>
            </w:r>
            <w:r w:rsidR="00C16ABC">
              <w:t>(2)</w:t>
            </w:r>
          </w:p>
        </w:tc>
      </w:tr>
      <w:tr w:rsidR="00EA00FD" w:rsidRPr="00845EB1" w:rsidTr="00EA00FD">
        <w:tc>
          <w:tcPr>
            <w:tcW w:w="1101" w:type="dxa"/>
          </w:tcPr>
          <w:p w:rsidR="00EA00FD" w:rsidRPr="00845EB1" w:rsidRDefault="00EA00FD" w:rsidP="00EA00FD">
            <w:pPr>
              <w:jc w:val="center"/>
            </w:pPr>
            <w:r w:rsidRPr="00845EB1">
              <w:t>13.</w:t>
            </w:r>
          </w:p>
        </w:tc>
        <w:tc>
          <w:tcPr>
            <w:tcW w:w="8127" w:type="dxa"/>
          </w:tcPr>
          <w:p w:rsidR="00EA00FD" w:rsidRPr="00EC5C31" w:rsidRDefault="00BD5F27" w:rsidP="00BD5F27">
            <w:r>
              <w:t>Klausur 2</w:t>
            </w:r>
          </w:p>
        </w:tc>
      </w:tr>
      <w:tr w:rsidR="00EA00FD" w:rsidRPr="00845EB1" w:rsidTr="00EA00FD">
        <w:tc>
          <w:tcPr>
            <w:tcW w:w="1101" w:type="dxa"/>
            <w:tcBorders>
              <w:bottom w:val="double" w:sz="6" w:space="0" w:color="000000"/>
            </w:tcBorders>
          </w:tcPr>
          <w:p w:rsidR="00EA00FD" w:rsidRPr="00845EB1" w:rsidRDefault="00EA00FD" w:rsidP="00EA00FD">
            <w:pPr>
              <w:jc w:val="center"/>
            </w:pPr>
            <w:r w:rsidRPr="00845EB1">
              <w:t>14.</w:t>
            </w:r>
          </w:p>
        </w:tc>
        <w:tc>
          <w:tcPr>
            <w:tcW w:w="8127" w:type="dxa"/>
            <w:tcBorders>
              <w:bottom w:val="double" w:sz="6" w:space="0" w:color="000000"/>
            </w:tcBorders>
          </w:tcPr>
          <w:p w:rsidR="00EA00FD" w:rsidRPr="00EC5C31" w:rsidRDefault="00BD5F27" w:rsidP="00BD5F27">
            <w:r w:rsidRPr="00575618">
              <w:t>Zusammenfassung und Bewertung</w:t>
            </w:r>
          </w:p>
        </w:tc>
      </w:tr>
    </w:tbl>
    <w:p w:rsidR="000A0940" w:rsidRDefault="000A0940" w:rsidP="000A0940">
      <w:pPr>
        <w:rPr>
          <w:b/>
        </w:rPr>
      </w:pPr>
    </w:p>
    <w:p w:rsidR="00EA00FD" w:rsidRDefault="00BD5F27" w:rsidP="000A0940">
      <w:pPr>
        <w:rPr>
          <w:b/>
        </w:rPr>
      </w:pPr>
      <w:r>
        <w:rPr>
          <w:b/>
        </w:rPr>
        <w:t>Literatur</w:t>
      </w:r>
      <w:r w:rsidR="00EA00FD">
        <w:rPr>
          <w:b/>
        </w:rPr>
        <w:t>:</w:t>
      </w:r>
    </w:p>
    <w:p w:rsidR="00EA00FD" w:rsidRDefault="00C16ABC" w:rsidP="000A0940">
      <w:pPr>
        <w:rPr>
          <w:lang w:val="hu-HU"/>
        </w:rPr>
      </w:pPr>
      <w:proofErr w:type="spellStart"/>
      <w:r w:rsidRPr="00A53CDB">
        <w:rPr>
          <w:lang w:val="hu-HU"/>
        </w:rPr>
        <w:t>Löbner</w:t>
      </w:r>
      <w:proofErr w:type="spellEnd"/>
      <w:r w:rsidRPr="00A53CDB">
        <w:rPr>
          <w:lang w:val="hu-HU"/>
        </w:rPr>
        <w:t xml:space="preserve">, S. (2015): </w:t>
      </w:r>
      <w:proofErr w:type="spellStart"/>
      <w:r w:rsidRPr="00A53CDB">
        <w:rPr>
          <w:i/>
          <w:lang w:val="hu-HU"/>
        </w:rPr>
        <w:t>Semantik</w:t>
      </w:r>
      <w:proofErr w:type="spellEnd"/>
      <w:r w:rsidRPr="00A53CDB">
        <w:rPr>
          <w:i/>
          <w:lang w:val="hu-HU"/>
        </w:rPr>
        <w:t xml:space="preserve">: </w:t>
      </w:r>
      <w:proofErr w:type="spellStart"/>
      <w:r w:rsidRPr="00A53CDB">
        <w:rPr>
          <w:i/>
          <w:lang w:val="hu-HU"/>
        </w:rPr>
        <w:t>Eine</w:t>
      </w:r>
      <w:proofErr w:type="spellEnd"/>
      <w:r w:rsidRPr="00A53CDB">
        <w:rPr>
          <w:i/>
          <w:lang w:val="hu-HU"/>
        </w:rPr>
        <w:t xml:space="preserve"> </w:t>
      </w:r>
      <w:proofErr w:type="spellStart"/>
      <w:r w:rsidRPr="00A53CDB">
        <w:rPr>
          <w:i/>
          <w:lang w:val="hu-HU"/>
        </w:rPr>
        <w:t>Einführung</w:t>
      </w:r>
      <w:proofErr w:type="spellEnd"/>
      <w:r w:rsidRPr="00A53CDB">
        <w:rPr>
          <w:lang w:val="hu-HU"/>
        </w:rPr>
        <w:t>. Berlin/Boston: de Gruyter.</w:t>
      </w:r>
    </w:p>
    <w:p w:rsidR="00C16ABC" w:rsidRDefault="00C16ABC" w:rsidP="000A0940">
      <w:pPr>
        <w:rPr>
          <w:b/>
        </w:rPr>
      </w:pPr>
    </w:p>
    <w:p w:rsidR="000A0940" w:rsidRDefault="00BD5F27" w:rsidP="000A0940">
      <w:r>
        <w:rPr>
          <w:b/>
        </w:rPr>
        <w:t>Empfohlene Literatur</w:t>
      </w:r>
      <w:r w:rsidR="000A0940">
        <w:rPr>
          <w:b/>
        </w:rPr>
        <w:t>:</w:t>
      </w:r>
      <w:r w:rsidR="000A0940" w:rsidRPr="006202B7">
        <w:t xml:space="preserve"> </w:t>
      </w:r>
    </w:p>
    <w:p w:rsidR="00C16ABC" w:rsidRPr="00A53CDB" w:rsidRDefault="00C16ABC" w:rsidP="00C16ABC">
      <w:pPr>
        <w:autoSpaceDE w:val="0"/>
        <w:autoSpaceDN w:val="0"/>
        <w:adjustRightInd w:val="0"/>
        <w:jc w:val="both"/>
        <w:rPr>
          <w:b/>
          <w:lang w:val="hu-HU"/>
        </w:rPr>
      </w:pPr>
      <w:proofErr w:type="spellStart"/>
      <w:r w:rsidRPr="00A53CDB">
        <w:rPr>
          <w:lang w:val="hu-HU"/>
        </w:rPr>
        <w:t>Pafel</w:t>
      </w:r>
      <w:proofErr w:type="spellEnd"/>
      <w:r w:rsidRPr="00A53CDB">
        <w:rPr>
          <w:lang w:val="hu-HU"/>
        </w:rPr>
        <w:t xml:space="preserve">, J. und Reich, I. (2016): </w:t>
      </w:r>
      <w:proofErr w:type="spellStart"/>
      <w:r w:rsidRPr="00A53CDB">
        <w:rPr>
          <w:i/>
          <w:lang w:val="hu-HU"/>
        </w:rPr>
        <w:t>Einführung</w:t>
      </w:r>
      <w:proofErr w:type="spellEnd"/>
      <w:r w:rsidRPr="00A53CDB">
        <w:rPr>
          <w:i/>
          <w:lang w:val="hu-HU"/>
        </w:rPr>
        <w:t xml:space="preserve"> </w:t>
      </w:r>
      <w:proofErr w:type="spellStart"/>
      <w:r w:rsidRPr="00A53CDB">
        <w:rPr>
          <w:i/>
          <w:lang w:val="hu-HU"/>
        </w:rPr>
        <w:t>in</w:t>
      </w:r>
      <w:proofErr w:type="spellEnd"/>
      <w:r w:rsidRPr="00A53CDB">
        <w:rPr>
          <w:i/>
          <w:lang w:val="hu-HU"/>
        </w:rPr>
        <w:t xml:space="preserve"> die </w:t>
      </w:r>
      <w:proofErr w:type="spellStart"/>
      <w:r w:rsidRPr="00A53CDB">
        <w:rPr>
          <w:i/>
          <w:lang w:val="hu-HU"/>
        </w:rPr>
        <w:t>Se</w:t>
      </w:r>
      <w:r>
        <w:rPr>
          <w:i/>
          <w:lang w:val="hu-HU"/>
        </w:rPr>
        <w:t>mantik</w:t>
      </w:r>
      <w:proofErr w:type="spellEnd"/>
      <w:r>
        <w:rPr>
          <w:i/>
          <w:lang w:val="hu-HU"/>
        </w:rPr>
        <w:t xml:space="preserve">: </w:t>
      </w:r>
      <w:proofErr w:type="spellStart"/>
      <w:r>
        <w:rPr>
          <w:i/>
          <w:lang w:val="hu-HU"/>
        </w:rPr>
        <w:t>Grundlagen</w:t>
      </w:r>
      <w:proofErr w:type="spellEnd"/>
      <w:r>
        <w:rPr>
          <w:i/>
          <w:lang w:val="hu-HU"/>
        </w:rPr>
        <w:t xml:space="preserve"> – </w:t>
      </w:r>
      <w:proofErr w:type="spellStart"/>
      <w:r>
        <w:rPr>
          <w:i/>
          <w:lang w:val="hu-HU"/>
        </w:rPr>
        <w:t>Analysen</w:t>
      </w:r>
      <w:proofErr w:type="spellEnd"/>
      <w:r>
        <w:rPr>
          <w:i/>
          <w:lang w:val="hu-HU"/>
        </w:rPr>
        <w:t xml:space="preserve"> –</w:t>
      </w:r>
      <w:proofErr w:type="spellStart"/>
      <w:r w:rsidRPr="00A53CDB">
        <w:rPr>
          <w:i/>
          <w:lang w:val="hu-HU"/>
        </w:rPr>
        <w:t>Theorien</w:t>
      </w:r>
      <w:proofErr w:type="spellEnd"/>
      <w:r w:rsidRPr="00A53CDB">
        <w:rPr>
          <w:lang w:val="hu-HU"/>
        </w:rPr>
        <w:t xml:space="preserve">. Stuttgart: </w:t>
      </w:r>
      <w:proofErr w:type="spellStart"/>
      <w:r w:rsidRPr="00A53CDB">
        <w:rPr>
          <w:lang w:val="hu-HU"/>
        </w:rPr>
        <w:t>Metzler</w:t>
      </w:r>
      <w:proofErr w:type="spellEnd"/>
      <w:r w:rsidRPr="00A53CDB">
        <w:rPr>
          <w:lang w:val="hu-HU"/>
        </w:rPr>
        <w:t>.</w:t>
      </w:r>
    </w:p>
    <w:p w:rsidR="00C16ABC" w:rsidRPr="00A53CDB" w:rsidRDefault="00C16ABC" w:rsidP="00C16ABC">
      <w:pPr>
        <w:autoSpaceDE w:val="0"/>
        <w:autoSpaceDN w:val="0"/>
        <w:adjustRightInd w:val="0"/>
        <w:jc w:val="both"/>
        <w:rPr>
          <w:lang w:val="hu-HU"/>
        </w:rPr>
      </w:pPr>
      <w:r w:rsidRPr="00A53CDB">
        <w:rPr>
          <w:lang w:val="hu-HU"/>
        </w:rPr>
        <w:t xml:space="preserve">Schwarz, M. und </w:t>
      </w:r>
      <w:proofErr w:type="spellStart"/>
      <w:r w:rsidRPr="00A53CDB">
        <w:rPr>
          <w:lang w:val="hu-HU"/>
        </w:rPr>
        <w:t>Chur</w:t>
      </w:r>
      <w:proofErr w:type="spellEnd"/>
      <w:r w:rsidRPr="00A53CDB">
        <w:rPr>
          <w:lang w:val="hu-HU"/>
        </w:rPr>
        <w:t xml:space="preserve">, J. (1993): </w:t>
      </w:r>
      <w:proofErr w:type="spellStart"/>
      <w:r w:rsidRPr="00A53CDB">
        <w:rPr>
          <w:i/>
          <w:lang w:val="hu-HU"/>
        </w:rPr>
        <w:t>Semantik</w:t>
      </w:r>
      <w:proofErr w:type="spellEnd"/>
      <w:r w:rsidRPr="00A53CDB">
        <w:rPr>
          <w:i/>
          <w:lang w:val="hu-HU"/>
        </w:rPr>
        <w:t xml:space="preserve">: </w:t>
      </w:r>
      <w:proofErr w:type="spellStart"/>
      <w:r w:rsidRPr="00A53CDB">
        <w:rPr>
          <w:i/>
          <w:lang w:val="hu-HU"/>
        </w:rPr>
        <w:t>Ein</w:t>
      </w:r>
      <w:proofErr w:type="spellEnd"/>
      <w:r w:rsidRPr="00A53CDB">
        <w:rPr>
          <w:i/>
          <w:lang w:val="hu-HU"/>
        </w:rPr>
        <w:t xml:space="preserve"> </w:t>
      </w:r>
      <w:proofErr w:type="spellStart"/>
      <w:r w:rsidRPr="00A53CDB">
        <w:rPr>
          <w:i/>
          <w:lang w:val="hu-HU"/>
        </w:rPr>
        <w:t>Arbeitsbuch</w:t>
      </w:r>
      <w:proofErr w:type="spellEnd"/>
      <w:r w:rsidRPr="00A53CDB">
        <w:rPr>
          <w:lang w:val="hu-HU"/>
        </w:rPr>
        <w:t xml:space="preserve">. Tübingen: </w:t>
      </w:r>
      <w:proofErr w:type="spellStart"/>
      <w:r w:rsidRPr="00A53CDB">
        <w:rPr>
          <w:lang w:val="hu-HU"/>
        </w:rPr>
        <w:t>Narr</w:t>
      </w:r>
      <w:proofErr w:type="spellEnd"/>
      <w:r w:rsidRPr="00A53CDB">
        <w:rPr>
          <w:lang w:val="hu-HU"/>
        </w:rPr>
        <w:t>.</w:t>
      </w:r>
    </w:p>
    <w:p w:rsidR="000A0940" w:rsidRPr="00C16ABC" w:rsidRDefault="00C16ABC" w:rsidP="00C16ABC">
      <w:pPr>
        <w:autoSpaceDE w:val="0"/>
        <w:autoSpaceDN w:val="0"/>
        <w:adjustRightInd w:val="0"/>
        <w:jc w:val="both"/>
        <w:rPr>
          <w:lang w:val="hu-HU"/>
        </w:rPr>
      </w:pPr>
      <w:proofErr w:type="spellStart"/>
      <w:r w:rsidRPr="00A53CDB">
        <w:rPr>
          <w:lang w:val="hu-HU"/>
        </w:rPr>
        <w:t>Welte</w:t>
      </w:r>
      <w:proofErr w:type="spellEnd"/>
      <w:r w:rsidRPr="00A53CDB">
        <w:rPr>
          <w:lang w:val="hu-HU"/>
        </w:rPr>
        <w:t xml:space="preserve">, W. (1993): </w:t>
      </w:r>
      <w:proofErr w:type="spellStart"/>
      <w:r w:rsidRPr="00A53CDB">
        <w:rPr>
          <w:i/>
          <w:lang w:val="hu-HU"/>
        </w:rPr>
        <w:t>Englische</w:t>
      </w:r>
      <w:proofErr w:type="spellEnd"/>
      <w:r w:rsidRPr="00A53CDB">
        <w:rPr>
          <w:i/>
          <w:lang w:val="hu-HU"/>
        </w:rPr>
        <w:t xml:space="preserve"> </w:t>
      </w:r>
      <w:proofErr w:type="spellStart"/>
      <w:r w:rsidRPr="00A53CDB">
        <w:rPr>
          <w:i/>
          <w:lang w:val="hu-HU"/>
        </w:rPr>
        <w:t>Semantik</w:t>
      </w:r>
      <w:proofErr w:type="spellEnd"/>
      <w:r w:rsidRPr="00A53CDB">
        <w:rPr>
          <w:lang w:val="hu-HU"/>
        </w:rPr>
        <w:t>. Frankfurt am M.: Peter Lang.</w:t>
      </w:r>
    </w:p>
    <w:sectPr w:rsidR="000A0940" w:rsidRPr="00C16ABC" w:rsidSect="002E355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0378"/>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D39658C"/>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0940"/>
    <w:rsid w:val="00064535"/>
    <w:rsid w:val="000968A1"/>
    <w:rsid w:val="000A0940"/>
    <w:rsid w:val="00115327"/>
    <w:rsid w:val="00261A99"/>
    <w:rsid w:val="002E3551"/>
    <w:rsid w:val="00413249"/>
    <w:rsid w:val="0046119A"/>
    <w:rsid w:val="004F4E59"/>
    <w:rsid w:val="005066D3"/>
    <w:rsid w:val="006277C1"/>
    <w:rsid w:val="00701F5D"/>
    <w:rsid w:val="007A10BA"/>
    <w:rsid w:val="008875B4"/>
    <w:rsid w:val="009952AF"/>
    <w:rsid w:val="00AC0ACE"/>
    <w:rsid w:val="00BD5F27"/>
    <w:rsid w:val="00BF1462"/>
    <w:rsid w:val="00C14B68"/>
    <w:rsid w:val="00C16ABC"/>
    <w:rsid w:val="00C26399"/>
    <w:rsid w:val="00CF57F6"/>
    <w:rsid w:val="00EA00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940"/>
    <w:rPr>
      <w:rFonts w:ascii="Times New Roman" w:eastAsia="Times New Roman" w:hAnsi="Times New Roman"/>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1422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Radványi</dc:creator>
  <cp:lastModifiedBy>user</cp:lastModifiedBy>
  <cp:revision>3</cp:revision>
  <dcterms:created xsi:type="dcterms:W3CDTF">2022-02-21T12:30:00Z</dcterms:created>
  <dcterms:modified xsi:type="dcterms:W3CDTF">2022-02-21T12:30:00Z</dcterms:modified>
</cp:coreProperties>
</file>