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40" w:rsidRPr="001F1BBA" w:rsidRDefault="001F1BBA" w:rsidP="000A0940">
      <w:pPr>
        <w:rPr>
          <w:b/>
        </w:rPr>
      </w:pPr>
      <w:r w:rsidRPr="001F1BBA">
        <w:rPr>
          <w:b/>
        </w:rPr>
        <w:t>Titel der Lehrveranstaltung</w:t>
      </w:r>
      <w:r w:rsidR="000A0940" w:rsidRPr="001F1BBA">
        <w:rPr>
          <w:b/>
        </w:rPr>
        <w:t xml:space="preserve">: </w:t>
      </w:r>
      <w:r w:rsidRPr="001F1BBA">
        <w:t>Deutsche Phonetik</w:t>
      </w:r>
    </w:p>
    <w:p w:rsidR="00C14B68" w:rsidRPr="001F1BBA" w:rsidRDefault="00C14B68" w:rsidP="000A0940">
      <w:pPr>
        <w:rPr>
          <w:b/>
        </w:rPr>
      </w:pPr>
    </w:p>
    <w:p w:rsidR="000A0940" w:rsidRPr="001F1BBA" w:rsidRDefault="001F1BBA" w:rsidP="000A0940">
      <w:pPr>
        <w:rPr>
          <w:b/>
        </w:rPr>
      </w:pPr>
      <w:r w:rsidRPr="001F1BBA">
        <w:rPr>
          <w:b/>
        </w:rPr>
        <w:t>Typ der Lehrveranstaltung</w:t>
      </w:r>
      <w:r w:rsidR="000A0940" w:rsidRPr="001F1BBA">
        <w:rPr>
          <w:b/>
        </w:rPr>
        <w:t xml:space="preserve">: </w:t>
      </w:r>
      <w:r w:rsidRPr="001F1BBA">
        <w:t>Seminar</w:t>
      </w:r>
    </w:p>
    <w:p w:rsidR="000A0940" w:rsidRPr="001F1BBA" w:rsidRDefault="000A0940" w:rsidP="000A0940">
      <w:pPr>
        <w:rPr>
          <w:b/>
        </w:rPr>
      </w:pPr>
    </w:p>
    <w:p w:rsidR="00EA00FD" w:rsidRPr="001F1BBA" w:rsidRDefault="001F1BBA" w:rsidP="000A0940">
      <w:pPr>
        <w:rPr>
          <w:b/>
        </w:rPr>
      </w:pPr>
      <w:r w:rsidRPr="001F1BBA">
        <w:rPr>
          <w:b/>
        </w:rPr>
        <w:t>Kode</w:t>
      </w:r>
      <w:r w:rsidR="00EA00FD" w:rsidRPr="001F1BBA">
        <w:rPr>
          <w:b/>
        </w:rPr>
        <w:t xml:space="preserve">: </w:t>
      </w:r>
      <w:r w:rsidR="00E57D67" w:rsidRPr="001F1BBA">
        <w:rPr>
          <w:bCs/>
          <w:color w:val="4A4A4A"/>
          <w:shd w:val="clear" w:color="auto" w:fill="FFFFFF"/>
        </w:rPr>
        <w:t>BTNM411MA-K3</w:t>
      </w:r>
    </w:p>
    <w:p w:rsidR="00EA00FD" w:rsidRPr="001F1BBA" w:rsidRDefault="00EA00FD" w:rsidP="000A0940">
      <w:pPr>
        <w:rPr>
          <w:b/>
        </w:rPr>
      </w:pPr>
    </w:p>
    <w:p w:rsidR="000A0940" w:rsidRPr="001F1BBA" w:rsidRDefault="001F1BBA" w:rsidP="000A0940">
      <w:pPr>
        <w:rPr>
          <w:b/>
        </w:rPr>
      </w:pPr>
      <w:r w:rsidRPr="001F1BBA">
        <w:rPr>
          <w:b/>
        </w:rPr>
        <w:t>Wöchentliche Stundenzahl</w:t>
      </w:r>
      <w:r w:rsidR="00EA00FD" w:rsidRPr="001F1BBA">
        <w:rPr>
          <w:b/>
        </w:rPr>
        <w:t xml:space="preserve">: </w:t>
      </w:r>
      <w:r w:rsidR="00E57D67" w:rsidRPr="001F1BBA">
        <w:t>2</w:t>
      </w:r>
    </w:p>
    <w:p w:rsidR="000A0940" w:rsidRPr="001F1BBA" w:rsidRDefault="000A0940" w:rsidP="000A0940">
      <w:pPr>
        <w:rPr>
          <w:b/>
        </w:rPr>
      </w:pPr>
    </w:p>
    <w:p w:rsidR="000A0940" w:rsidRPr="001F1BBA" w:rsidRDefault="001F1BBA" w:rsidP="000A0940">
      <w:pPr>
        <w:rPr>
          <w:b/>
        </w:rPr>
      </w:pPr>
      <w:r w:rsidRPr="001F1BBA">
        <w:rPr>
          <w:b/>
        </w:rPr>
        <w:t>Kreditpunkte</w:t>
      </w:r>
      <w:r w:rsidR="00EA00FD" w:rsidRPr="001F1BBA">
        <w:rPr>
          <w:b/>
        </w:rPr>
        <w:t>:</w:t>
      </w:r>
      <w:r w:rsidR="00E57D67" w:rsidRPr="001F1BBA">
        <w:rPr>
          <w:b/>
        </w:rPr>
        <w:t xml:space="preserve"> </w:t>
      </w:r>
      <w:r w:rsidR="00E57D67" w:rsidRPr="001F1BBA">
        <w:t>3</w:t>
      </w:r>
    </w:p>
    <w:p w:rsidR="000A0940" w:rsidRPr="001F1BBA" w:rsidRDefault="000A0940" w:rsidP="000A0940">
      <w:pPr>
        <w:rPr>
          <w:b/>
        </w:rPr>
      </w:pPr>
    </w:p>
    <w:p w:rsidR="000A0940" w:rsidRPr="001F1BBA" w:rsidRDefault="001F1BBA" w:rsidP="000A0940">
      <w:r w:rsidRPr="001F1BBA">
        <w:rPr>
          <w:b/>
        </w:rPr>
        <w:t>Bewertung</w:t>
      </w:r>
      <w:r w:rsidR="000A0940" w:rsidRPr="001F1BBA">
        <w:rPr>
          <w:b/>
        </w:rPr>
        <w:t xml:space="preserve">: </w:t>
      </w:r>
      <w:r w:rsidRPr="001F1BBA">
        <w:t>Seminarnote</w:t>
      </w:r>
    </w:p>
    <w:p w:rsidR="0038702B" w:rsidRPr="001F1BBA" w:rsidRDefault="0038702B" w:rsidP="00EA00FD">
      <w:pPr>
        <w:tabs>
          <w:tab w:val="left" w:pos="34"/>
        </w:tabs>
        <w:jc w:val="both"/>
        <w:rPr>
          <w:b/>
        </w:rPr>
      </w:pPr>
    </w:p>
    <w:p w:rsidR="00C26399" w:rsidRPr="001F1BBA" w:rsidRDefault="001F1BBA" w:rsidP="00EA00FD">
      <w:pPr>
        <w:tabs>
          <w:tab w:val="left" w:pos="34"/>
        </w:tabs>
        <w:jc w:val="both"/>
        <w:rPr>
          <w:b/>
        </w:rPr>
      </w:pPr>
      <w:r w:rsidRPr="001F1BBA">
        <w:rPr>
          <w:b/>
        </w:rPr>
        <w:t>Beschreibung</w:t>
      </w:r>
      <w:r w:rsidR="000A0940" w:rsidRPr="001F1BBA">
        <w:rPr>
          <w:b/>
        </w:rPr>
        <w:t>:</w:t>
      </w:r>
      <w:r w:rsidR="0038702B" w:rsidRPr="001F1BBA">
        <w:rPr>
          <w:b/>
        </w:rPr>
        <w:t xml:space="preserve"> </w:t>
      </w:r>
    </w:p>
    <w:p w:rsidR="00C26399" w:rsidRPr="001F1BBA" w:rsidRDefault="001F1BBA" w:rsidP="000830DE">
      <w:pPr>
        <w:jc w:val="both"/>
      </w:pPr>
      <w:r w:rsidRPr="001F1BBA">
        <w:t>Die Zielsetzung der</w:t>
      </w:r>
      <w:r w:rsidRPr="001F1BBA">
        <w:rPr>
          <w:b/>
        </w:rPr>
        <w:t xml:space="preserve"> </w:t>
      </w:r>
      <w:r w:rsidRPr="001F1BBA">
        <w:t>Lehrveranstaltung ist, den Studierenden eine theoretische Einführung in die grundsätzlichsten Fragen der deutschen Phonetik zu bieten (die Phonetik als wissenschaftliche Disziplin, das IPA-Alphabet, das Verhältnis zwischen Graphem und Sprachlaut, die Lautbildung, Anatomie und Physiologie der Sprechorgane, die artikulatorische Basis, suprasegmentale Erscheinungen).</w:t>
      </w:r>
      <w:r w:rsidR="000830DE" w:rsidRPr="001F1BBA">
        <w:t xml:space="preserve"> </w:t>
      </w:r>
      <w:r w:rsidRPr="001F1BBA">
        <w:t xml:space="preserve">Die regelmäßige Teilnahme an den Sitzungen ist obligatorisch, insgesamt </w:t>
      </w:r>
      <w:r w:rsidRPr="001F1BBA">
        <w:rPr>
          <w:b/>
        </w:rPr>
        <w:t>dreimal</w:t>
      </w:r>
      <w:r w:rsidRPr="001F1BBA">
        <w:t xml:space="preserve"> darf man fehlen. Vor der jeweiligen Sitzung müssen die Teilnehmer die Materialien zum gegebenen Thema lesen, bzw. lösen.</w:t>
      </w:r>
      <w:r w:rsidR="000830DE" w:rsidRPr="001F1BBA">
        <w:t xml:space="preserve"> </w:t>
      </w:r>
      <w:r w:rsidRPr="001F1BBA">
        <w:t>Die Leistung der Studierenden wird anhand ihrer Aktivität in den Sitzungen, der selbstständig vorbereiteten Hausaufgaben und zweier Kontrollarbeiten bewertet. Bei der Berechnung der Seminarnote zählt die Note der zweiten Kontrollarbeit zweimal.</w:t>
      </w:r>
    </w:p>
    <w:p w:rsidR="0038702B" w:rsidRPr="001F1BBA" w:rsidRDefault="0038702B" w:rsidP="000A0940">
      <w:pPr>
        <w:rPr>
          <w:b/>
        </w:rPr>
      </w:pPr>
    </w:p>
    <w:p w:rsidR="000A0940" w:rsidRPr="001F1BBA" w:rsidRDefault="001F1BBA" w:rsidP="000A0940">
      <w:pPr>
        <w:rPr>
          <w:b/>
        </w:rPr>
      </w:pPr>
      <w:r w:rsidRPr="001F1BBA">
        <w:rPr>
          <w:b/>
        </w:rPr>
        <w:t>Thematik</w:t>
      </w:r>
      <w:r w:rsidR="000A0940" w:rsidRPr="001F1BBA">
        <w:rPr>
          <w:b/>
        </w:rPr>
        <w:t xml:space="preserve">: </w:t>
      </w:r>
    </w:p>
    <w:p w:rsidR="000A0940" w:rsidRPr="001F1BBA" w:rsidRDefault="000A0940" w:rsidP="000A0940">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EA00FD" w:rsidRPr="001F1BBA" w:rsidTr="00EA00FD">
        <w:tc>
          <w:tcPr>
            <w:tcW w:w="1101" w:type="dxa"/>
            <w:tcBorders>
              <w:top w:val="double" w:sz="6" w:space="0" w:color="000000"/>
              <w:bottom w:val="double" w:sz="6" w:space="0" w:color="auto"/>
            </w:tcBorders>
          </w:tcPr>
          <w:p w:rsidR="00EA00FD" w:rsidRPr="001F1BBA" w:rsidRDefault="001F1BBA" w:rsidP="00EA00FD">
            <w:pPr>
              <w:jc w:val="center"/>
              <w:rPr>
                <w:b/>
              </w:rPr>
            </w:pPr>
            <w:r>
              <w:rPr>
                <w:b/>
              </w:rPr>
              <w:t>Woche</w:t>
            </w:r>
          </w:p>
          <w:p w:rsidR="00EA00FD" w:rsidRPr="001F1BBA" w:rsidRDefault="00EA00FD" w:rsidP="00EA00FD">
            <w:pPr>
              <w:jc w:val="center"/>
              <w:rPr>
                <w:b/>
              </w:rPr>
            </w:pPr>
          </w:p>
        </w:tc>
        <w:tc>
          <w:tcPr>
            <w:tcW w:w="8127" w:type="dxa"/>
            <w:tcBorders>
              <w:top w:val="double" w:sz="6" w:space="0" w:color="000000"/>
              <w:bottom w:val="double" w:sz="6" w:space="0" w:color="auto"/>
            </w:tcBorders>
          </w:tcPr>
          <w:p w:rsidR="00EA00FD" w:rsidRPr="001F1BBA" w:rsidRDefault="001F1BBA" w:rsidP="00EA00FD">
            <w:pPr>
              <w:jc w:val="center"/>
              <w:rPr>
                <w:b/>
              </w:rPr>
            </w:pPr>
            <w:r>
              <w:rPr>
                <w:b/>
              </w:rPr>
              <w:t>Thema</w:t>
            </w:r>
          </w:p>
        </w:tc>
      </w:tr>
      <w:tr w:rsidR="00EA00FD" w:rsidRPr="001F1BBA" w:rsidTr="00EA00FD">
        <w:tc>
          <w:tcPr>
            <w:tcW w:w="1101" w:type="dxa"/>
            <w:tcBorders>
              <w:top w:val="double" w:sz="6" w:space="0" w:color="auto"/>
            </w:tcBorders>
          </w:tcPr>
          <w:p w:rsidR="00EA00FD" w:rsidRPr="001F1BBA" w:rsidRDefault="00EA00FD" w:rsidP="00EA00FD">
            <w:pPr>
              <w:jc w:val="center"/>
            </w:pPr>
            <w:r w:rsidRPr="001F1BBA">
              <w:t>1.</w:t>
            </w:r>
          </w:p>
        </w:tc>
        <w:tc>
          <w:tcPr>
            <w:tcW w:w="8127" w:type="dxa"/>
            <w:tcBorders>
              <w:top w:val="double" w:sz="6" w:space="0" w:color="auto"/>
            </w:tcBorders>
          </w:tcPr>
          <w:p w:rsidR="00EA00FD" w:rsidRPr="001F1BBA" w:rsidRDefault="001F1BBA" w:rsidP="00EA00FD">
            <w:r w:rsidRPr="00575618">
              <w:t>Organisatorisches und Einführung</w:t>
            </w:r>
          </w:p>
        </w:tc>
      </w:tr>
      <w:tr w:rsidR="00EA00FD" w:rsidRPr="001F1BBA" w:rsidTr="00EA00FD">
        <w:tc>
          <w:tcPr>
            <w:tcW w:w="1101" w:type="dxa"/>
          </w:tcPr>
          <w:p w:rsidR="00EA00FD" w:rsidRPr="001F1BBA" w:rsidRDefault="00EA00FD" w:rsidP="00EA00FD">
            <w:pPr>
              <w:jc w:val="center"/>
            </w:pPr>
            <w:r w:rsidRPr="001F1BBA">
              <w:t>2.</w:t>
            </w:r>
          </w:p>
        </w:tc>
        <w:tc>
          <w:tcPr>
            <w:tcW w:w="8127" w:type="dxa"/>
          </w:tcPr>
          <w:p w:rsidR="00EA00FD" w:rsidRPr="001F1BBA" w:rsidRDefault="001F1BBA" w:rsidP="00EA00FD">
            <w:r w:rsidRPr="005B66C5">
              <w:t>Gegenstand und Stellenwert der Phonetik</w:t>
            </w:r>
          </w:p>
        </w:tc>
      </w:tr>
      <w:tr w:rsidR="00EA00FD" w:rsidRPr="001F1BBA" w:rsidTr="00EA00FD">
        <w:tc>
          <w:tcPr>
            <w:tcW w:w="1101" w:type="dxa"/>
          </w:tcPr>
          <w:p w:rsidR="00EA00FD" w:rsidRPr="001F1BBA" w:rsidRDefault="00EA00FD" w:rsidP="00EA00FD">
            <w:pPr>
              <w:jc w:val="center"/>
            </w:pPr>
            <w:r w:rsidRPr="001F1BBA">
              <w:t>3.</w:t>
            </w:r>
          </w:p>
        </w:tc>
        <w:tc>
          <w:tcPr>
            <w:tcW w:w="8127" w:type="dxa"/>
          </w:tcPr>
          <w:p w:rsidR="00EA00FD" w:rsidRPr="001F1BBA" w:rsidRDefault="001F1BBA" w:rsidP="00EA00FD">
            <w:r w:rsidRPr="005B66C5">
              <w:t>Grundbegriffe</w:t>
            </w:r>
          </w:p>
        </w:tc>
      </w:tr>
      <w:tr w:rsidR="00EA00FD" w:rsidRPr="001F1BBA" w:rsidTr="00EA00FD">
        <w:tc>
          <w:tcPr>
            <w:tcW w:w="1101" w:type="dxa"/>
          </w:tcPr>
          <w:p w:rsidR="00EA00FD" w:rsidRPr="001F1BBA" w:rsidRDefault="00EA00FD" w:rsidP="00EA00FD">
            <w:pPr>
              <w:jc w:val="center"/>
            </w:pPr>
            <w:r w:rsidRPr="001F1BBA">
              <w:t>4.</w:t>
            </w:r>
          </w:p>
        </w:tc>
        <w:tc>
          <w:tcPr>
            <w:tcW w:w="8127" w:type="dxa"/>
          </w:tcPr>
          <w:p w:rsidR="00EA00FD" w:rsidRPr="001F1BBA" w:rsidRDefault="001F1BBA" w:rsidP="00EA00FD">
            <w:r w:rsidRPr="005B66C5">
              <w:t>Anatomie und Physiologie der Sprechorgane</w:t>
            </w:r>
          </w:p>
        </w:tc>
      </w:tr>
      <w:tr w:rsidR="00EA00FD" w:rsidRPr="001F1BBA" w:rsidTr="00EA00FD">
        <w:tc>
          <w:tcPr>
            <w:tcW w:w="1101" w:type="dxa"/>
          </w:tcPr>
          <w:p w:rsidR="00EA00FD" w:rsidRPr="001F1BBA" w:rsidRDefault="00EA00FD" w:rsidP="00EA00FD">
            <w:pPr>
              <w:jc w:val="center"/>
            </w:pPr>
            <w:r w:rsidRPr="001F1BBA">
              <w:t>5.</w:t>
            </w:r>
          </w:p>
        </w:tc>
        <w:tc>
          <w:tcPr>
            <w:tcW w:w="8127" w:type="dxa"/>
          </w:tcPr>
          <w:p w:rsidR="00EA00FD" w:rsidRPr="001F1BBA" w:rsidRDefault="001F1BBA" w:rsidP="00EA00FD">
            <w:r w:rsidRPr="005B66C5">
              <w:t>Die internationale Lautschrift und die phonetische Transkription</w:t>
            </w:r>
          </w:p>
        </w:tc>
      </w:tr>
      <w:tr w:rsidR="00EA00FD" w:rsidRPr="001F1BBA" w:rsidTr="00EA00FD">
        <w:tc>
          <w:tcPr>
            <w:tcW w:w="1101" w:type="dxa"/>
          </w:tcPr>
          <w:p w:rsidR="00EA00FD" w:rsidRPr="001F1BBA" w:rsidRDefault="00EA00FD" w:rsidP="00EA00FD">
            <w:pPr>
              <w:jc w:val="center"/>
            </w:pPr>
            <w:r w:rsidRPr="001F1BBA">
              <w:t>6.</w:t>
            </w:r>
          </w:p>
        </w:tc>
        <w:tc>
          <w:tcPr>
            <w:tcW w:w="8127" w:type="dxa"/>
          </w:tcPr>
          <w:p w:rsidR="00EA00FD" w:rsidRPr="001F1BBA" w:rsidRDefault="001F1BBA" w:rsidP="00EA00FD">
            <w:r>
              <w:t xml:space="preserve">Der Vokalismus. </w:t>
            </w:r>
            <w:r w:rsidRPr="005B66C5">
              <w:t>Silbifizierung</w:t>
            </w:r>
            <w:r>
              <w:t xml:space="preserve">. </w:t>
            </w:r>
            <w:r w:rsidRPr="005B66C5">
              <w:t>Kurze und lange Silben</w:t>
            </w:r>
          </w:p>
        </w:tc>
      </w:tr>
      <w:tr w:rsidR="00EA00FD" w:rsidRPr="001F1BBA" w:rsidTr="00EA00FD">
        <w:tc>
          <w:tcPr>
            <w:tcW w:w="1101" w:type="dxa"/>
          </w:tcPr>
          <w:p w:rsidR="00EA00FD" w:rsidRPr="001F1BBA" w:rsidRDefault="00EA00FD" w:rsidP="00EA00FD">
            <w:pPr>
              <w:jc w:val="center"/>
            </w:pPr>
            <w:r w:rsidRPr="001F1BBA">
              <w:t>7.</w:t>
            </w:r>
          </w:p>
        </w:tc>
        <w:tc>
          <w:tcPr>
            <w:tcW w:w="8127" w:type="dxa"/>
          </w:tcPr>
          <w:p w:rsidR="00EA00FD" w:rsidRPr="001F1BBA" w:rsidRDefault="001F1BBA" w:rsidP="00EA00FD">
            <w:r>
              <w:t>Klausur 1</w:t>
            </w:r>
          </w:p>
        </w:tc>
      </w:tr>
      <w:tr w:rsidR="00EA00FD" w:rsidRPr="001F1BBA" w:rsidTr="00EA00FD">
        <w:tc>
          <w:tcPr>
            <w:tcW w:w="1101" w:type="dxa"/>
          </w:tcPr>
          <w:p w:rsidR="00EA00FD" w:rsidRPr="001F1BBA" w:rsidRDefault="00EA00FD" w:rsidP="00EA00FD">
            <w:pPr>
              <w:ind w:left="360"/>
            </w:pPr>
            <w:r w:rsidRPr="001F1BBA">
              <w:t>8.</w:t>
            </w:r>
          </w:p>
        </w:tc>
        <w:tc>
          <w:tcPr>
            <w:tcW w:w="8127" w:type="dxa"/>
          </w:tcPr>
          <w:p w:rsidR="00EA00FD" w:rsidRPr="001F1BBA" w:rsidRDefault="001F1BBA" w:rsidP="00EA00FD">
            <w:r>
              <w:t xml:space="preserve">Die </w:t>
            </w:r>
            <w:r w:rsidRPr="00077B19">
              <w:rPr>
                <w:i/>
              </w:rPr>
              <w:t>e</w:t>
            </w:r>
            <w:r>
              <w:t>-Laute</w:t>
            </w:r>
          </w:p>
        </w:tc>
      </w:tr>
      <w:tr w:rsidR="00EA00FD" w:rsidRPr="001F1BBA" w:rsidTr="00EA00FD">
        <w:tc>
          <w:tcPr>
            <w:tcW w:w="1101" w:type="dxa"/>
          </w:tcPr>
          <w:p w:rsidR="00EA00FD" w:rsidRPr="001F1BBA" w:rsidRDefault="00EA00FD" w:rsidP="00EA00FD">
            <w:pPr>
              <w:jc w:val="center"/>
            </w:pPr>
            <w:r w:rsidRPr="001F1BBA">
              <w:t>9.</w:t>
            </w:r>
          </w:p>
        </w:tc>
        <w:tc>
          <w:tcPr>
            <w:tcW w:w="8127" w:type="dxa"/>
          </w:tcPr>
          <w:p w:rsidR="00EA00FD" w:rsidRPr="001F1BBA" w:rsidRDefault="001F1BBA" w:rsidP="008729D7">
            <w:r w:rsidRPr="005B66C5">
              <w:t xml:space="preserve">Das konsonantische (ʁ) und vokalisierte </w:t>
            </w:r>
            <w:r w:rsidRPr="005B66C5">
              <w:rPr>
                <w:i/>
              </w:rPr>
              <w:t>r</w:t>
            </w:r>
            <w:r w:rsidRPr="005B66C5">
              <w:t>: [ɐ] und [ɐ̯]</w:t>
            </w:r>
          </w:p>
        </w:tc>
      </w:tr>
      <w:tr w:rsidR="00EA00FD" w:rsidRPr="001F1BBA" w:rsidTr="00EA00FD">
        <w:tc>
          <w:tcPr>
            <w:tcW w:w="1101" w:type="dxa"/>
          </w:tcPr>
          <w:p w:rsidR="00EA00FD" w:rsidRPr="001F1BBA" w:rsidRDefault="00EA00FD" w:rsidP="00EA00FD">
            <w:pPr>
              <w:jc w:val="center"/>
            </w:pPr>
            <w:r w:rsidRPr="001F1BBA">
              <w:t>10.</w:t>
            </w:r>
          </w:p>
        </w:tc>
        <w:tc>
          <w:tcPr>
            <w:tcW w:w="8127" w:type="dxa"/>
          </w:tcPr>
          <w:p w:rsidR="00EA00FD" w:rsidRPr="001F1BBA" w:rsidRDefault="001F1BBA" w:rsidP="00EA00FD">
            <w:r w:rsidRPr="005B66C5">
              <w:t>Der Konsonantismus</w:t>
            </w:r>
          </w:p>
        </w:tc>
      </w:tr>
      <w:tr w:rsidR="00EA00FD" w:rsidRPr="001F1BBA" w:rsidTr="00EA00FD">
        <w:tc>
          <w:tcPr>
            <w:tcW w:w="1101" w:type="dxa"/>
          </w:tcPr>
          <w:p w:rsidR="00EA00FD" w:rsidRPr="001F1BBA" w:rsidRDefault="00EA00FD" w:rsidP="00EA00FD">
            <w:pPr>
              <w:jc w:val="center"/>
            </w:pPr>
            <w:r w:rsidRPr="001F1BBA">
              <w:t>11.</w:t>
            </w:r>
          </w:p>
        </w:tc>
        <w:tc>
          <w:tcPr>
            <w:tcW w:w="8127" w:type="dxa"/>
          </w:tcPr>
          <w:p w:rsidR="00EA00FD" w:rsidRPr="001F1BBA" w:rsidRDefault="001F1BBA" w:rsidP="00EA00FD">
            <w:r w:rsidRPr="005B66C5">
              <w:t>Verschluss- und Engelaute</w:t>
            </w:r>
          </w:p>
        </w:tc>
      </w:tr>
      <w:tr w:rsidR="00EA00FD" w:rsidRPr="001F1BBA" w:rsidTr="00EA00FD">
        <w:tc>
          <w:tcPr>
            <w:tcW w:w="1101" w:type="dxa"/>
          </w:tcPr>
          <w:p w:rsidR="00EA00FD" w:rsidRPr="001F1BBA" w:rsidRDefault="00EA00FD" w:rsidP="00EA00FD">
            <w:pPr>
              <w:jc w:val="center"/>
            </w:pPr>
            <w:r w:rsidRPr="001F1BBA">
              <w:t>12.</w:t>
            </w:r>
          </w:p>
        </w:tc>
        <w:tc>
          <w:tcPr>
            <w:tcW w:w="8127" w:type="dxa"/>
          </w:tcPr>
          <w:p w:rsidR="00EA00FD" w:rsidRPr="001F1BBA" w:rsidRDefault="001F1BBA" w:rsidP="008729D7">
            <w:r w:rsidRPr="005B66C5">
              <w:t xml:space="preserve">Die Nasale. Die </w:t>
            </w:r>
            <w:proofErr w:type="spellStart"/>
            <w:r w:rsidRPr="005B66C5">
              <w:t>Graphemverbindungen</w:t>
            </w:r>
            <w:proofErr w:type="spellEnd"/>
            <w:r w:rsidRPr="005B66C5">
              <w:t xml:space="preserve"> &lt;</w:t>
            </w:r>
            <w:proofErr w:type="spellStart"/>
            <w:r w:rsidRPr="005B66C5">
              <w:t>ng</w:t>
            </w:r>
            <w:proofErr w:type="spellEnd"/>
            <w:r w:rsidRPr="005B66C5">
              <w:t>&gt; und &lt;</w:t>
            </w:r>
            <w:proofErr w:type="spellStart"/>
            <w:r w:rsidRPr="005B66C5">
              <w:t>nk</w:t>
            </w:r>
            <w:proofErr w:type="spellEnd"/>
            <w:r w:rsidRPr="005B66C5">
              <w:t>&gt;</w:t>
            </w:r>
          </w:p>
        </w:tc>
      </w:tr>
      <w:tr w:rsidR="00EA00FD" w:rsidRPr="001F1BBA" w:rsidTr="00EA00FD">
        <w:tc>
          <w:tcPr>
            <w:tcW w:w="1101" w:type="dxa"/>
          </w:tcPr>
          <w:p w:rsidR="00EA00FD" w:rsidRPr="001F1BBA" w:rsidRDefault="00EA00FD" w:rsidP="00EA00FD">
            <w:pPr>
              <w:jc w:val="center"/>
            </w:pPr>
            <w:r w:rsidRPr="001F1BBA">
              <w:t>13.</w:t>
            </w:r>
          </w:p>
        </w:tc>
        <w:tc>
          <w:tcPr>
            <w:tcW w:w="8127" w:type="dxa"/>
          </w:tcPr>
          <w:p w:rsidR="00EA00FD" w:rsidRPr="001F1BBA" w:rsidRDefault="001F1BBA" w:rsidP="00EA00FD">
            <w:r>
              <w:t>Klausur 2</w:t>
            </w:r>
          </w:p>
        </w:tc>
      </w:tr>
      <w:tr w:rsidR="00EA00FD" w:rsidRPr="001F1BBA" w:rsidTr="00EA00FD">
        <w:tc>
          <w:tcPr>
            <w:tcW w:w="1101" w:type="dxa"/>
            <w:tcBorders>
              <w:bottom w:val="double" w:sz="6" w:space="0" w:color="000000"/>
            </w:tcBorders>
          </w:tcPr>
          <w:p w:rsidR="00EA00FD" w:rsidRPr="001F1BBA" w:rsidRDefault="00EA00FD" w:rsidP="00EA00FD">
            <w:pPr>
              <w:jc w:val="center"/>
            </w:pPr>
            <w:r w:rsidRPr="001F1BBA">
              <w:t>14.</w:t>
            </w:r>
          </w:p>
        </w:tc>
        <w:tc>
          <w:tcPr>
            <w:tcW w:w="8127" w:type="dxa"/>
            <w:tcBorders>
              <w:bottom w:val="double" w:sz="6" w:space="0" w:color="000000"/>
            </w:tcBorders>
          </w:tcPr>
          <w:p w:rsidR="00EA00FD" w:rsidRPr="001F1BBA" w:rsidRDefault="001F1BBA" w:rsidP="00EA00FD">
            <w:r w:rsidRPr="00575618">
              <w:t>Zusammenfassung und Bewertung</w:t>
            </w:r>
          </w:p>
        </w:tc>
      </w:tr>
    </w:tbl>
    <w:p w:rsidR="001F1BBA" w:rsidRPr="001F1BBA" w:rsidRDefault="001F1BBA" w:rsidP="000A0940">
      <w:pPr>
        <w:rPr>
          <w:b/>
        </w:rPr>
      </w:pPr>
    </w:p>
    <w:p w:rsidR="00EA00FD" w:rsidRPr="001F1BBA" w:rsidRDefault="001F1BBA" w:rsidP="000A0940">
      <w:pPr>
        <w:rPr>
          <w:b/>
        </w:rPr>
      </w:pPr>
      <w:r>
        <w:rPr>
          <w:b/>
        </w:rPr>
        <w:t>Literatur</w:t>
      </w:r>
      <w:r w:rsidR="00EA00FD" w:rsidRPr="001F1BBA">
        <w:rPr>
          <w:b/>
        </w:rPr>
        <w:t>:</w:t>
      </w:r>
    </w:p>
    <w:p w:rsidR="001F1BBA" w:rsidRDefault="0038702B" w:rsidP="006F4E36">
      <w:pPr>
        <w:jc w:val="both"/>
        <w:rPr>
          <w:b/>
        </w:rPr>
      </w:pPr>
      <w:proofErr w:type="spellStart"/>
      <w:r w:rsidRPr="001F1BBA">
        <w:t>Pilarský</w:t>
      </w:r>
      <w:proofErr w:type="spellEnd"/>
      <w:r w:rsidRPr="001F1BBA">
        <w:t xml:space="preserve">, J. (2006): </w:t>
      </w:r>
      <w:r w:rsidRPr="001F1BBA">
        <w:rPr>
          <w:i/>
          <w:iCs/>
        </w:rPr>
        <w:t xml:space="preserve">Deutsche Phonetik. Ein praktischer Abriss mit Elementen deutsch-ungarischer </w:t>
      </w:r>
      <w:proofErr w:type="spellStart"/>
      <w:r w:rsidRPr="001F1BBA">
        <w:rPr>
          <w:i/>
          <w:iCs/>
        </w:rPr>
        <w:t>Kontrastivität</w:t>
      </w:r>
      <w:proofErr w:type="spellEnd"/>
      <w:r w:rsidRPr="001F1BBA">
        <w:rPr>
          <w:i/>
          <w:iCs/>
        </w:rPr>
        <w:t>.</w:t>
      </w:r>
      <w:r w:rsidRPr="001F1BBA">
        <w:t xml:space="preserve"> 3., durchgesehene und aktualisierte Auflage. Debrecen: Kossuth </w:t>
      </w:r>
      <w:proofErr w:type="spellStart"/>
      <w:r w:rsidRPr="001F1BBA">
        <w:t>Egyetemi</w:t>
      </w:r>
      <w:proofErr w:type="spellEnd"/>
      <w:r w:rsidRPr="001F1BBA">
        <w:t xml:space="preserve"> </w:t>
      </w:r>
      <w:proofErr w:type="spellStart"/>
      <w:r w:rsidRPr="001F1BBA">
        <w:t>Kiadó</w:t>
      </w:r>
      <w:proofErr w:type="spellEnd"/>
      <w:r w:rsidRPr="001F1BBA">
        <w:t>.</w:t>
      </w:r>
    </w:p>
    <w:p w:rsidR="000A0940" w:rsidRPr="001F1BBA" w:rsidRDefault="001F1BBA" w:rsidP="000A0940">
      <w:r>
        <w:rPr>
          <w:b/>
        </w:rPr>
        <w:t>Empfohlene Literatur</w:t>
      </w:r>
      <w:r w:rsidR="000A0940" w:rsidRPr="001F1BBA">
        <w:rPr>
          <w:b/>
        </w:rPr>
        <w:t>:</w:t>
      </w:r>
      <w:r w:rsidR="000A0940" w:rsidRPr="001F1BBA">
        <w:t xml:space="preserve"> </w:t>
      </w:r>
    </w:p>
    <w:p w:rsidR="006277C1" w:rsidRPr="001F1BBA" w:rsidRDefault="0038702B" w:rsidP="0038702B">
      <w:pPr>
        <w:jc w:val="both"/>
      </w:pPr>
      <w:r w:rsidRPr="001F1BBA">
        <w:rPr>
          <w:i/>
          <w:iCs/>
        </w:rPr>
        <w:t>Duden „Aussprachewörterbuch“.</w:t>
      </w:r>
      <w:r w:rsidRPr="001F1BBA">
        <w:t xml:space="preserve"> 2., völlig neu bearbeitete und erweiterte Auflage. [Duden Band 6.] Mannheim / Wien / Zürich: Dudenverlag, 1985.</w:t>
      </w:r>
    </w:p>
    <w:sectPr w:rsidR="006277C1" w:rsidRPr="001F1BBA" w:rsidSect="002E3551">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0378"/>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D39658C"/>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0940"/>
    <w:rsid w:val="00023583"/>
    <w:rsid w:val="000830DE"/>
    <w:rsid w:val="000A0940"/>
    <w:rsid w:val="00115327"/>
    <w:rsid w:val="001F1BBA"/>
    <w:rsid w:val="002109BF"/>
    <w:rsid w:val="002E3551"/>
    <w:rsid w:val="0038702B"/>
    <w:rsid w:val="00413249"/>
    <w:rsid w:val="0046119A"/>
    <w:rsid w:val="004F4E59"/>
    <w:rsid w:val="006277C1"/>
    <w:rsid w:val="006F4E36"/>
    <w:rsid w:val="007A10BA"/>
    <w:rsid w:val="008729D7"/>
    <w:rsid w:val="008875B4"/>
    <w:rsid w:val="009952AF"/>
    <w:rsid w:val="00AC0ACE"/>
    <w:rsid w:val="00BF1462"/>
    <w:rsid w:val="00C14B68"/>
    <w:rsid w:val="00C26399"/>
    <w:rsid w:val="00CF57F6"/>
    <w:rsid w:val="00E57D67"/>
    <w:rsid w:val="00EA00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940"/>
    <w:rPr>
      <w:rFonts w:ascii="Times New Roman" w:eastAsia="Times New Roman" w:hAnsi="Times New Roman"/>
      <w:sz w:val="24"/>
      <w:szCs w:val="24"/>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1696</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Radványi</dc:creator>
  <cp:lastModifiedBy>user</cp:lastModifiedBy>
  <cp:revision>2</cp:revision>
  <dcterms:created xsi:type="dcterms:W3CDTF">2021-11-15T07:03:00Z</dcterms:created>
  <dcterms:modified xsi:type="dcterms:W3CDTF">2021-11-15T07:03:00Z</dcterms:modified>
</cp:coreProperties>
</file>