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38" w:rsidRPr="00EE4838" w:rsidRDefault="00EE4838" w:rsidP="00EE4838">
      <w:pPr>
        <w:pStyle w:val="Cmsor1"/>
        <w:rPr>
          <w:lang w:val="de-DE"/>
        </w:rPr>
      </w:pPr>
      <w:r w:rsidRPr="00EE4838">
        <w:rPr>
          <w:lang w:val="de-DE"/>
        </w:rPr>
        <w:t xml:space="preserve">Kurstitel: </w:t>
      </w:r>
      <w:r w:rsidRPr="00EE4838">
        <w:rPr>
          <w:sz w:val="28"/>
          <w:szCs w:val="28"/>
          <w:lang w:val="de-DE"/>
        </w:rPr>
        <w:t>Text: Rezeption und Produktion</w:t>
      </w:r>
    </w:p>
    <w:p w:rsidR="00EE4838" w:rsidRPr="00EE4838" w:rsidRDefault="00EE4838" w:rsidP="00EE4838">
      <w:pPr>
        <w:rPr>
          <w:b/>
        </w:rPr>
      </w:pPr>
    </w:p>
    <w:p w:rsidR="00EE4838" w:rsidRPr="00EE4838" w:rsidRDefault="00EE4838" w:rsidP="00EE4838">
      <w:pPr>
        <w:rPr>
          <w:b/>
        </w:rPr>
      </w:pPr>
      <w:r w:rsidRPr="00EE4838">
        <w:rPr>
          <w:b/>
        </w:rPr>
        <w:t>Typ: Seminar</w:t>
      </w:r>
    </w:p>
    <w:p w:rsidR="00EE4838" w:rsidRPr="00EE4838" w:rsidRDefault="00EE4838" w:rsidP="00EE4838">
      <w:pPr>
        <w:rPr>
          <w:b/>
        </w:rPr>
      </w:pPr>
    </w:p>
    <w:p w:rsidR="00EE4838" w:rsidRPr="00EE4838" w:rsidRDefault="00EE4838" w:rsidP="00EE4838">
      <w:pPr>
        <w:pStyle w:val="Cmsor1"/>
        <w:rPr>
          <w:lang w:val="de-DE"/>
        </w:rPr>
      </w:pPr>
      <w:r w:rsidRPr="00EE4838">
        <w:rPr>
          <w:lang w:val="de-DE"/>
        </w:rPr>
        <w:t>Wochenstunden: 2</w:t>
      </w:r>
    </w:p>
    <w:p w:rsidR="00EE4838" w:rsidRPr="00EE4838" w:rsidRDefault="00EE4838" w:rsidP="00EE4838">
      <w:pPr>
        <w:rPr>
          <w:b/>
        </w:rPr>
      </w:pPr>
    </w:p>
    <w:p w:rsidR="00EE4838" w:rsidRPr="00EE4838" w:rsidRDefault="00EE4838" w:rsidP="00EE4838">
      <w:r w:rsidRPr="00EE4838">
        <w:rPr>
          <w:b/>
        </w:rPr>
        <w:t>Form der Bewertung: Seminarnote</w:t>
      </w:r>
    </w:p>
    <w:p w:rsidR="00EE4838" w:rsidRPr="00EE4838" w:rsidRDefault="00EE4838" w:rsidP="00EE4838">
      <w:pPr>
        <w:rPr>
          <w:b/>
        </w:rPr>
      </w:pPr>
    </w:p>
    <w:p w:rsidR="00EE4838" w:rsidRPr="00EE4838" w:rsidRDefault="00EE4838" w:rsidP="00EE4838">
      <w:pPr>
        <w:tabs>
          <w:tab w:val="left" w:pos="34"/>
        </w:tabs>
        <w:jc w:val="both"/>
        <w:rPr>
          <w:b/>
        </w:rPr>
      </w:pPr>
      <w:r w:rsidRPr="00EE4838">
        <w:rPr>
          <w:b/>
        </w:rPr>
        <w:t xml:space="preserve">Beschreibung (5-15 Zeilen): </w:t>
      </w:r>
    </w:p>
    <w:p w:rsidR="00EE4838" w:rsidRPr="00EE4838" w:rsidRDefault="00EE4838" w:rsidP="00EE4838">
      <w:pPr>
        <w:jc w:val="both"/>
      </w:pPr>
      <w:r w:rsidRPr="00EE4838">
        <w:t xml:space="preserve">Der Kurs setzt sich zwei Ziele: Einerseits sollen die eingeführten textlinguistischen Grundbegriffe vertieft und mit Hilfe von Beispielen illustriert, analysiert und geübt werden, andererseits soll die neue, textlinguistische Annäherungsweise zur Produktion und Rezeption von Texten in die Praxis umgesetzt werden. </w:t>
      </w:r>
    </w:p>
    <w:p w:rsidR="00EE4838" w:rsidRPr="00EE4838" w:rsidRDefault="00EE4838" w:rsidP="00EE4838">
      <w:pPr>
        <w:tabs>
          <w:tab w:val="left" w:pos="34"/>
        </w:tabs>
        <w:jc w:val="both"/>
      </w:pPr>
      <w:r w:rsidRPr="00EE4838">
        <w:t>Den Zielsetzungen entsprechend ist der Kurs nach den folgenden Richtlinien aufgebaut:</w:t>
      </w:r>
    </w:p>
    <w:p w:rsidR="00EE4838" w:rsidRPr="00EE4838" w:rsidRDefault="00EE4838" w:rsidP="00EE4838">
      <w:pPr>
        <w:pStyle w:val="Listaszerbekezds"/>
        <w:numPr>
          <w:ilvl w:val="0"/>
          <w:numId w:val="3"/>
        </w:numPr>
        <w:tabs>
          <w:tab w:val="left" w:pos="34"/>
        </w:tabs>
        <w:jc w:val="both"/>
      </w:pPr>
      <w:r w:rsidRPr="00EE4838">
        <w:t>Vertiefung und Übung der kennengelernten Phänomene mit Hilfe von Handouts (den Studierenden zur Verfügung gestellt)</w:t>
      </w:r>
      <w:r w:rsidRPr="00EE4838">
        <w:tab/>
      </w:r>
      <w:r w:rsidRPr="00EE4838">
        <w:tab/>
      </w:r>
    </w:p>
    <w:p w:rsidR="00EE4838" w:rsidRPr="00EE4838" w:rsidRDefault="00EE4838" w:rsidP="00EE4838">
      <w:pPr>
        <w:pStyle w:val="Listaszerbekezds"/>
        <w:numPr>
          <w:ilvl w:val="0"/>
          <w:numId w:val="3"/>
        </w:numPr>
        <w:tabs>
          <w:tab w:val="left" w:pos="34"/>
        </w:tabs>
        <w:jc w:val="both"/>
      </w:pPr>
      <w:r w:rsidRPr="00EE4838">
        <w:t>Das Gelernte wird in Form von Klausuren erfragt.</w:t>
      </w:r>
    </w:p>
    <w:p w:rsidR="00EE4838" w:rsidRPr="00EE4838" w:rsidRDefault="00EE4838" w:rsidP="00EE4838">
      <w:pPr>
        <w:pStyle w:val="Listaszerbekezds"/>
        <w:numPr>
          <w:ilvl w:val="0"/>
          <w:numId w:val="3"/>
        </w:numPr>
        <w:tabs>
          <w:tab w:val="left" w:pos="34"/>
        </w:tabs>
        <w:jc w:val="both"/>
      </w:pPr>
      <w:r w:rsidRPr="00EE4838">
        <w:t xml:space="preserve">Ein bestimmter literarischer Text soll gelesen und nach gegebenen Gesichtspunkten analysiert werden. (Die Liste der Werke, die Gesichtspunkte zur Analyse sowie die Termine für die Absolvierung der Aufgaben erhalten die Studierenden in der ersten Sitzung.) </w:t>
      </w:r>
    </w:p>
    <w:p w:rsidR="00EE4838" w:rsidRPr="00EE4838" w:rsidRDefault="00EE4838" w:rsidP="00EE4838">
      <w:pPr>
        <w:rPr>
          <w:b/>
        </w:rPr>
      </w:pPr>
      <w:bookmarkStart w:id="0" w:name="_GoBack"/>
      <w:bookmarkEnd w:id="0"/>
    </w:p>
    <w:p w:rsidR="00EE4838" w:rsidRPr="00EE4838" w:rsidRDefault="00EE4838" w:rsidP="00EE4838">
      <w:pPr>
        <w:rPr>
          <w:b/>
        </w:rPr>
      </w:pPr>
      <w:r>
        <w:rPr>
          <w:b/>
        </w:rPr>
        <w:t>Thematik</w:t>
      </w:r>
    </w:p>
    <w:p w:rsidR="00EE4838" w:rsidRPr="00EE4838" w:rsidRDefault="00EE4838" w:rsidP="00EE4838">
      <w:pPr>
        <w:rPr>
          <w:b/>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435"/>
      </w:tblGrid>
      <w:tr w:rsidR="00EE4838" w:rsidRPr="00EE4838" w:rsidTr="0035734C">
        <w:tc>
          <w:tcPr>
            <w:tcW w:w="959" w:type="dxa"/>
            <w:shd w:val="clear" w:color="auto" w:fill="A6A6A6"/>
          </w:tcPr>
          <w:p w:rsidR="00EE4838" w:rsidRPr="00EE4838" w:rsidRDefault="00EE4838" w:rsidP="00EE4838">
            <w:pPr>
              <w:pStyle w:val="Cmsor3"/>
            </w:pPr>
            <w:r w:rsidRPr="00EE4838">
              <w:t>Woche</w:t>
            </w:r>
          </w:p>
        </w:tc>
        <w:tc>
          <w:tcPr>
            <w:tcW w:w="7435" w:type="dxa"/>
            <w:shd w:val="clear" w:color="auto" w:fill="A6A6A6"/>
          </w:tcPr>
          <w:p w:rsidR="00EE4838" w:rsidRPr="00EE4838" w:rsidRDefault="00EE4838" w:rsidP="00EE4838">
            <w:pPr>
              <w:jc w:val="center"/>
              <w:rPr>
                <w:b/>
              </w:rPr>
            </w:pPr>
            <w:r w:rsidRPr="00EE4838">
              <w:rPr>
                <w:b/>
              </w:rPr>
              <w:t>Thema</w:t>
            </w:r>
          </w:p>
        </w:tc>
      </w:tr>
      <w:tr w:rsidR="00EE4838" w:rsidRPr="00EE4838" w:rsidTr="0035734C">
        <w:tc>
          <w:tcPr>
            <w:tcW w:w="959" w:type="dxa"/>
          </w:tcPr>
          <w:p w:rsidR="00EE4838" w:rsidRPr="00EE4838" w:rsidRDefault="00EE4838" w:rsidP="00EE4838">
            <w:pPr>
              <w:jc w:val="center"/>
            </w:pPr>
            <w:r w:rsidRPr="00EE4838">
              <w:t>1.</w:t>
            </w:r>
          </w:p>
        </w:tc>
        <w:tc>
          <w:tcPr>
            <w:tcW w:w="7435" w:type="dxa"/>
          </w:tcPr>
          <w:p w:rsidR="00EE4838" w:rsidRPr="00EE4838" w:rsidRDefault="00EE4838" w:rsidP="00EE4838">
            <w:pPr>
              <w:jc w:val="both"/>
            </w:pPr>
            <w:r w:rsidRPr="00EE4838">
              <w:t>Einführung. Die Alltagsauffassung von Text. Gliederungsaufgaben.</w:t>
            </w:r>
          </w:p>
        </w:tc>
      </w:tr>
      <w:tr w:rsidR="00EE4838" w:rsidRPr="00EE4838" w:rsidTr="0035734C">
        <w:tc>
          <w:tcPr>
            <w:tcW w:w="959" w:type="dxa"/>
          </w:tcPr>
          <w:p w:rsidR="00EE4838" w:rsidRPr="00EE4838" w:rsidRDefault="00EE4838" w:rsidP="00EE4838">
            <w:pPr>
              <w:jc w:val="center"/>
            </w:pPr>
            <w:r w:rsidRPr="00EE4838">
              <w:t>2.</w:t>
            </w:r>
          </w:p>
        </w:tc>
        <w:tc>
          <w:tcPr>
            <w:tcW w:w="7435" w:type="dxa"/>
          </w:tcPr>
          <w:p w:rsidR="00EE4838" w:rsidRPr="00EE4838" w:rsidRDefault="00EE4838" w:rsidP="00EE4838">
            <w:pPr>
              <w:jc w:val="both"/>
            </w:pPr>
            <w:r w:rsidRPr="00EE4838">
              <w:t>Rezeption und Produktion von anaphorischen und kataphorischen Verweisungen.</w:t>
            </w:r>
          </w:p>
        </w:tc>
      </w:tr>
      <w:tr w:rsidR="00EE4838" w:rsidRPr="00EE4838" w:rsidTr="0035734C">
        <w:tc>
          <w:tcPr>
            <w:tcW w:w="959" w:type="dxa"/>
          </w:tcPr>
          <w:p w:rsidR="00EE4838" w:rsidRPr="00EE4838" w:rsidRDefault="00EE4838" w:rsidP="00EE4838">
            <w:pPr>
              <w:jc w:val="center"/>
            </w:pPr>
            <w:r w:rsidRPr="00EE4838">
              <w:t>3.</w:t>
            </w:r>
          </w:p>
        </w:tc>
        <w:tc>
          <w:tcPr>
            <w:tcW w:w="7435" w:type="dxa"/>
            <w:tcBorders>
              <w:bottom w:val="single" w:sz="4" w:space="0" w:color="auto"/>
            </w:tcBorders>
          </w:tcPr>
          <w:p w:rsidR="00EE4838" w:rsidRPr="00EE4838" w:rsidRDefault="00EE4838" w:rsidP="00EE4838">
            <w:pPr>
              <w:jc w:val="both"/>
            </w:pPr>
            <w:r w:rsidRPr="00EE4838">
              <w:t xml:space="preserve">Rezeption und Produktion von Verweisungen außerhalb der Textebene, thematischer und </w:t>
            </w:r>
            <w:proofErr w:type="spellStart"/>
            <w:r w:rsidRPr="00EE4838">
              <w:t>rhematischer</w:t>
            </w:r>
            <w:proofErr w:type="spellEnd"/>
            <w:r w:rsidRPr="00EE4838">
              <w:t xml:space="preserve"> Gebrauch von Pronomina und anderer Pro-Elemente</w:t>
            </w:r>
          </w:p>
        </w:tc>
      </w:tr>
      <w:tr w:rsidR="00EE4838" w:rsidRPr="00EE4838" w:rsidTr="0035734C">
        <w:tc>
          <w:tcPr>
            <w:tcW w:w="959" w:type="dxa"/>
            <w:shd w:val="clear" w:color="auto" w:fill="FFFFFF" w:themeFill="background1"/>
          </w:tcPr>
          <w:p w:rsidR="00EE4838" w:rsidRPr="00EE4838" w:rsidRDefault="00EE4838" w:rsidP="00EE4838">
            <w:pPr>
              <w:jc w:val="center"/>
            </w:pPr>
            <w:r w:rsidRPr="00EE4838">
              <w:t>4.</w:t>
            </w:r>
          </w:p>
        </w:tc>
        <w:tc>
          <w:tcPr>
            <w:tcW w:w="7435" w:type="dxa"/>
            <w:tcBorders>
              <w:bottom w:val="single" w:sz="4" w:space="0" w:color="auto"/>
            </w:tcBorders>
            <w:shd w:val="clear" w:color="auto" w:fill="FFFFFF" w:themeFill="background1"/>
          </w:tcPr>
          <w:p w:rsidR="00EE4838" w:rsidRPr="00EE4838" w:rsidRDefault="00EE4838" w:rsidP="00EE4838">
            <w:pPr>
              <w:jc w:val="both"/>
            </w:pPr>
            <w:r w:rsidRPr="00EE4838">
              <w:t xml:space="preserve">Rezeption und Produktion im Bereich der </w:t>
            </w:r>
            <w:proofErr w:type="spellStart"/>
            <w:r w:rsidRPr="00EE4838">
              <w:t>Junktion</w:t>
            </w:r>
            <w:proofErr w:type="spellEnd"/>
            <w:r w:rsidRPr="00EE4838">
              <w:t xml:space="preserve">. </w:t>
            </w:r>
            <w:proofErr w:type="spellStart"/>
            <w:r w:rsidRPr="00EE4838">
              <w:t>Junktion</w:t>
            </w:r>
            <w:proofErr w:type="spellEnd"/>
            <w:r w:rsidRPr="00EE4838">
              <w:t xml:space="preserve"> und Argumentation</w:t>
            </w:r>
          </w:p>
        </w:tc>
      </w:tr>
      <w:tr w:rsidR="00EE4838" w:rsidRPr="00EE4838" w:rsidTr="0035734C">
        <w:tc>
          <w:tcPr>
            <w:tcW w:w="959" w:type="dxa"/>
            <w:tcBorders>
              <w:bottom w:val="single" w:sz="4" w:space="0" w:color="auto"/>
            </w:tcBorders>
          </w:tcPr>
          <w:p w:rsidR="00EE4838" w:rsidRPr="00EE4838" w:rsidRDefault="00EE4838" w:rsidP="00EE4838">
            <w:pPr>
              <w:jc w:val="center"/>
            </w:pPr>
            <w:r w:rsidRPr="00EE4838">
              <w:t>5.</w:t>
            </w:r>
          </w:p>
        </w:tc>
        <w:tc>
          <w:tcPr>
            <w:tcW w:w="7435" w:type="dxa"/>
            <w:tcBorders>
              <w:bottom w:val="single" w:sz="4" w:space="0" w:color="auto"/>
            </w:tcBorders>
          </w:tcPr>
          <w:p w:rsidR="00EE4838" w:rsidRPr="00EE4838" w:rsidRDefault="00EE4838" w:rsidP="00EE4838">
            <w:pPr>
              <w:jc w:val="both"/>
            </w:pPr>
            <w:r w:rsidRPr="00EE4838">
              <w:t xml:space="preserve">Der Gebrauch der Tempora in Textsequenzen 1: Zeitreferenz, das deutsche </w:t>
            </w:r>
            <w:proofErr w:type="spellStart"/>
            <w:r w:rsidRPr="00EE4838">
              <w:t>Tempussystem</w:t>
            </w:r>
            <w:proofErr w:type="spellEnd"/>
          </w:p>
        </w:tc>
      </w:tr>
      <w:tr w:rsidR="00EE4838" w:rsidRPr="00EE4838" w:rsidTr="0035734C">
        <w:tc>
          <w:tcPr>
            <w:tcW w:w="959" w:type="dxa"/>
            <w:tcBorders>
              <w:bottom w:val="single" w:sz="4" w:space="0" w:color="auto"/>
            </w:tcBorders>
            <w:shd w:val="clear" w:color="auto" w:fill="FFFFFF" w:themeFill="background1"/>
          </w:tcPr>
          <w:p w:rsidR="00EE4838" w:rsidRPr="00EE4838" w:rsidRDefault="00EE4838" w:rsidP="00EE4838">
            <w:pPr>
              <w:jc w:val="center"/>
            </w:pPr>
            <w:r w:rsidRPr="00EE4838">
              <w:t>6.</w:t>
            </w:r>
          </w:p>
        </w:tc>
        <w:tc>
          <w:tcPr>
            <w:tcW w:w="7435" w:type="dxa"/>
            <w:tcBorders>
              <w:bottom w:val="single" w:sz="4" w:space="0" w:color="auto"/>
            </w:tcBorders>
            <w:shd w:val="clear" w:color="auto" w:fill="FFFFFF" w:themeFill="background1"/>
          </w:tcPr>
          <w:p w:rsidR="00EE4838" w:rsidRPr="00EE4838" w:rsidRDefault="00EE4838" w:rsidP="00EE4838">
            <w:pPr>
              <w:pStyle w:val="Cmsor3"/>
            </w:pPr>
            <w:r w:rsidRPr="00EE4838">
              <w:t>Klausurarbeit 1</w:t>
            </w:r>
          </w:p>
        </w:tc>
      </w:tr>
      <w:tr w:rsidR="00EE4838" w:rsidRPr="00EE4838" w:rsidTr="0035734C">
        <w:tc>
          <w:tcPr>
            <w:tcW w:w="959" w:type="dxa"/>
          </w:tcPr>
          <w:p w:rsidR="00EE4838" w:rsidRPr="00EE4838" w:rsidRDefault="00EE4838" w:rsidP="00EE4838">
            <w:pPr>
              <w:jc w:val="center"/>
            </w:pPr>
            <w:r w:rsidRPr="00EE4838">
              <w:t>7.</w:t>
            </w:r>
          </w:p>
        </w:tc>
        <w:tc>
          <w:tcPr>
            <w:tcW w:w="7435" w:type="dxa"/>
          </w:tcPr>
          <w:p w:rsidR="00EE4838" w:rsidRPr="00EE4838" w:rsidRDefault="00EE4838" w:rsidP="00EE4838">
            <w:r w:rsidRPr="00EE4838">
              <w:t xml:space="preserve">Der Gebrauch der Tempora in Textsequenzen 2: temporale Relationen in Texten; </w:t>
            </w:r>
          </w:p>
        </w:tc>
      </w:tr>
      <w:tr w:rsidR="00EE4838" w:rsidRPr="00EE4838" w:rsidTr="0035734C">
        <w:tc>
          <w:tcPr>
            <w:tcW w:w="959" w:type="dxa"/>
          </w:tcPr>
          <w:p w:rsidR="00EE4838" w:rsidRPr="00EE4838" w:rsidRDefault="00EE4838" w:rsidP="00EE4838">
            <w:pPr>
              <w:jc w:val="center"/>
            </w:pPr>
            <w:r w:rsidRPr="00EE4838">
              <w:t>8.</w:t>
            </w:r>
          </w:p>
        </w:tc>
        <w:tc>
          <w:tcPr>
            <w:tcW w:w="7435" w:type="dxa"/>
          </w:tcPr>
          <w:p w:rsidR="00EE4838" w:rsidRPr="00EE4838" w:rsidRDefault="00EE4838" w:rsidP="00EE4838">
            <w:r w:rsidRPr="00EE4838">
              <w:t xml:space="preserve">Der Gebrauch der Modi in Textsequenzen 1: Die direkte, indirekte und erlebte Rede </w:t>
            </w:r>
          </w:p>
        </w:tc>
      </w:tr>
      <w:tr w:rsidR="00EE4838" w:rsidRPr="00EE4838" w:rsidTr="0035734C">
        <w:tc>
          <w:tcPr>
            <w:tcW w:w="959" w:type="dxa"/>
            <w:shd w:val="clear" w:color="auto" w:fill="D9D9D9" w:themeFill="background1" w:themeFillShade="D9"/>
          </w:tcPr>
          <w:p w:rsidR="00EE4838" w:rsidRPr="00EE4838" w:rsidRDefault="00EE4838" w:rsidP="00EE4838">
            <w:pPr>
              <w:jc w:val="center"/>
              <w:rPr>
                <w:b/>
              </w:rPr>
            </w:pPr>
            <w:r w:rsidRPr="00EE4838">
              <w:rPr>
                <w:b/>
              </w:rPr>
              <w:t>9.</w:t>
            </w:r>
          </w:p>
        </w:tc>
        <w:tc>
          <w:tcPr>
            <w:tcW w:w="7435" w:type="dxa"/>
            <w:shd w:val="clear" w:color="auto" w:fill="D9D9D9" w:themeFill="background1" w:themeFillShade="D9"/>
          </w:tcPr>
          <w:p w:rsidR="00EE4838" w:rsidRPr="00EE4838" w:rsidRDefault="00EE4838" w:rsidP="00EE4838">
            <w:pPr>
              <w:pStyle w:val="Cmsor3"/>
            </w:pPr>
            <w:r w:rsidRPr="00EE4838">
              <w:t>KONSULTATIONSWOCHE</w:t>
            </w:r>
          </w:p>
        </w:tc>
      </w:tr>
      <w:tr w:rsidR="00EE4838" w:rsidRPr="00EE4838" w:rsidTr="0035734C">
        <w:tc>
          <w:tcPr>
            <w:tcW w:w="959" w:type="dxa"/>
          </w:tcPr>
          <w:p w:rsidR="00EE4838" w:rsidRPr="00EE4838" w:rsidRDefault="00EE4838" w:rsidP="00EE4838">
            <w:pPr>
              <w:jc w:val="center"/>
            </w:pPr>
            <w:r w:rsidRPr="00EE4838">
              <w:t>10.</w:t>
            </w:r>
          </w:p>
        </w:tc>
        <w:tc>
          <w:tcPr>
            <w:tcW w:w="7435" w:type="dxa"/>
          </w:tcPr>
          <w:p w:rsidR="00EE4838" w:rsidRPr="00EE4838" w:rsidRDefault="00EE4838" w:rsidP="00EE4838">
            <w:r w:rsidRPr="00EE4838">
              <w:t>Der Gebrauch der Modi in Textsequenzen 2: Besondere Arten der Redeerwähnung. Der Konjunktiv in der indirekten Rede.</w:t>
            </w:r>
          </w:p>
        </w:tc>
      </w:tr>
      <w:tr w:rsidR="00EE4838" w:rsidRPr="00EE4838" w:rsidTr="0035734C">
        <w:tc>
          <w:tcPr>
            <w:tcW w:w="959" w:type="dxa"/>
          </w:tcPr>
          <w:p w:rsidR="00EE4838" w:rsidRPr="00EE4838" w:rsidRDefault="00EE4838" w:rsidP="00EE4838">
            <w:pPr>
              <w:jc w:val="center"/>
            </w:pPr>
            <w:r w:rsidRPr="00EE4838">
              <w:t>11.</w:t>
            </w:r>
          </w:p>
        </w:tc>
        <w:tc>
          <w:tcPr>
            <w:tcW w:w="7435" w:type="dxa"/>
          </w:tcPr>
          <w:p w:rsidR="00EE4838" w:rsidRPr="00EE4838" w:rsidRDefault="00EE4838" w:rsidP="00EE4838">
            <w:r w:rsidRPr="00EE4838">
              <w:t>Der Gebrauch der Modi in Textsequenzen 3</w:t>
            </w:r>
          </w:p>
        </w:tc>
      </w:tr>
      <w:tr w:rsidR="00EE4838" w:rsidRPr="00EE4838" w:rsidTr="0035734C">
        <w:tc>
          <w:tcPr>
            <w:tcW w:w="959" w:type="dxa"/>
          </w:tcPr>
          <w:p w:rsidR="00EE4838" w:rsidRPr="00EE4838" w:rsidRDefault="00EE4838" w:rsidP="00EE4838">
            <w:pPr>
              <w:jc w:val="center"/>
            </w:pPr>
            <w:r w:rsidRPr="00EE4838">
              <w:t>12.</w:t>
            </w:r>
          </w:p>
        </w:tc>
        <w:tc>
          <w:tcPr>
            <w:tcW w:w="7435" w:type="dxa"/>
          </w:tcPr>
          <w:p w:rsidR="00EE4838" w:rsidRPr="00EE4838" w:rsidRDefault="00EE4838" w:rsidP="00EE4838">
            <w:r w:rsidRPr="00EE4838">
              <w:t>Wiederholung</w:t>
            </w:r>
          </w:p>
        </w:tc>
      </w:tr>
      <w:tr w:rsidR="00EE4838" w:rsidRPr="00EE4838" w:rsidTr="0035734C">
        <w:tc>
          <w:tcPr>
            <w:tcW w:w="959" w:type="dxa"/>
          </w:tcPr>
          <w:p w:rsidR="00EE4838" w:rsidRPr="00EE4838" w:rsidRDefault="00EE4838" w:rsidP="00EE4838">
            <w:pPr>
              <w:jc w:val="center"/>
            </w:pPr>
            <w:r w:rsidRPr="00EE4838">
              <w:t>13.</w:t>
            </w:r>
          </w:p>
        </w:tc>
        <w:tc>
          <w:tcPr>
            <w:tcW w:w="7435" w:type="dxa"/>
          </w:tcPr>
          <w:p w:rsidR="00EE4838" w:rsidRPr="00EE4838" w:rsidRDefault="00EE4838" w:rsidP="00EE4838">
            <w:pPr>
              <w:pStyle w:val="Cmsor3"/>
            </w:pPr>
            <w:r w:rsidRPr="00EE4838">
              <w:t>Abschlussklausur</w:t>
            </w:r>
          </w:p>
        </w:tc>
      </w:tr>
      <w:tr w:rsidR="00EE4838" w:rsidRPr="00EE4838" w:rsidTr="0035734C">
        <w:tc>
          <w:tcPr>
            <w:tcW w:w="959" w:type="dxa"/>
          </w:tcPr>
          <w:p w:rsidR="00EE4838" w:rsidRPr="00EE4838" w:rsidRDefault="00EE4838" w:rsidP="00EE4838">
            <w:pPr>
              <w:jc w:val="center"/>
            </w:pPr>
            <w:r w:rsidRPr="00EE4838">
              <w:t>14.</w:t>
            </w:r>
          </w:p>
        </w:tc>
        <w:tc>
          <w:tcPr>
            <w:tcW w:w="7435" w:type="dxa"/>
          </w:tcPr>
          <w:p w:rsidR="00EE4838" w:rsidRPr="00EE4838" w:rsidRDefault="00EE4838" w:rsidP="00EE4838">
            <w:pPr>
              <w:jc w:val="center"/>
              <w:rPr>
                <w:b/>
              </w:rPr>
            </w:pPr>
            <w:r w:rsidRPr="00EE4838">
              <w:rPr>
                <w:b/>
              </w:rPr>
              <w:t>Bewertung, Noteneintrag</w:t>
            </w:r>
          </w:p>
        </w:tc>
      </w:tr>
    </w:tbl>
    <w:p w:rsidR="00EE4838" w:rsidRPr="00EE4838" w:rsidRDefault="00EE4838" w:rsidP="00EE4838"/>
    <w:p w:rsidR="00EE4838" w:rsidRPr="00EE4838" w:rsidRDefault="00EE4838" w:rsidP="00EE4838"/>
    <w:p w:rsidR="00EE4838" w:rsidRPr="00EE4838" w:rsidRDefault="00EE4838" w:rsidP="00EE4838">
      <w:pPr>
        <w:jc w:val="both"/>
        <w:rPr>
          <w:b/>
        </w:rPr>
      </w:pPr>
      <w:r>
        <w:rPr>
          <w:b/>
        </w:rPr>
        <w:t>Pflichtlektüre</w:t>
      </w:r>
    </w:p>
    <w:p w:rsidR="00EE4838" w:rsidRPr="00EE4838" w:rsidRDefault="00EE4838" w:rsidP="00EE4838">
      <w:pPr>
        <w:jc w:val="both"/>
      </w:pPr>
      <w:r w:rsidRPr="00EE4838">
        <w:rPr>
          <w:i/>
        </w:rPr>
        <w:lastRenderedPageBreak/>
        <w:t xml:space="preserve">Textlinguistik anders. Online-Materialien zum Studium der Textlinguistik. </w:t>
      </w:r>
      <w:r w:rsidRPr="00EE4838">
        <w:t xml:space="preserve">Zusammengestellt von Piroska </w:t>
      </w:r>
      <w:proofErr w:type="spellStart"/>
      <w:r w:rsidRPr="00EE4838">
        <w:t>Kocsány</w:t>
      </w:r>
      <w:proofErr w:type="spellEnd"/>
      <w:r w:rsidRPr="00EE4838">
        <w:t xml:space="preserve">, </w:t>
      </w:r>
      <w:proofErr w:type="spellStart"/>
      <w:r w:rsidRPr="00EE4838">
        <w:t>Péter</w:t>
      </w:r>
      <w:proofErr w:type="spellEnd"/>
      <w:r w:rsidRPr="00EE4838">
        <w:t xml:space="preserve"> </w:t>
      </w:r>
      <w:proofErr w:type="spellStart"/>
      <w:r w:rsidRPr="00EE4838">
        <w:t>Csatár</w:t>
      </w:r>
      <w:proofErr w:type="spellEnd"/>
      <w:r w:rsidRPr="00EE4838">
        <w:t xml:space="preserve"> und </w:t>
      </w:r>
      <w:proofErr w:type="spellStart"/>
      <w:r w:rsidRPr="00EE4838">
        <w:t>Zsófia</w:t>
      </w:r>
      <w:proofErr w:type="spellEnd"/>
      <w:r w:rsidRPr="00EE4838">
        <w:t xml:space="preserve"> Haase. </w:t>
      </w:r>
    </w:p>
    <w:p w:rsidR="00EE4838" w:rsidRPr="00EE4838" w:rsidRDefault="00EE4838" w:rsidP="00EE4838">
      <w:pPr>
        <w:jc w:val="both"/>
      </w:pPr>
    </w:p>
    <w:p w:rsidR="00EE4838" w:rsidRPr="00EE4838" w:rsidRDefault="00EE4838" w:rsidP="00EE4838">
      <w:pPr>
        <w:jc w:val="both"/>
        <w:rPr>
          <w:b/>
        </w:rPr>
      </w:pPr>
      <w:proofErr w:type="spellStart"/>
      <w:r w:rsidRPr="00EE4838">
        <w:rPr>
          <w:b/>
        </w:rPr>
        <w:t>Kocsány</w:t>
      </w:r>
      <w:proofErr w:type="spellEnd"/>
      <w:r w:rsidRPr="00EE4838">
        <w:t xml:space="preserve">, P. &amp; </w:t>
      </w:r>
      <w:r w:rsidRPr="00EE4838">
        <w:rPr>
          <w:b/>
        </w:rPr>
        <w:t>Haase</w:t>
      </w:r>
      <w:r w:rsidRPr="00EE4838">
        <w:t xml:space="preserve">, Zs. 2021. </w:t>
      </w:r>
      <w:r w:rsidRPr="00EE4838">
        <w:rPr>
          <w:i/>
        </w:rPr>
        <w:t>Text und Grammatik</w:t>
      </w:r>
      <w:r w:rsidRPr="00EE4838">
        <w:t xml:space="preserve">. Wien: </w:t>
      </w:r>
      <w:proofErr w:type="spellStart"/>
      <w:r w:rsidRPr="00EE4838">
        <w:t>Praesens</w:t>
      </w:r>
      <w:proofErr w:type="spellEnd"/>
      <w:r w:rsidRPr="00EE4838">
        <w:t xml:space="preserve"> Verlag. (=Perspektiven in der Auslandsgermanistik 3)</w:t>
      </w:r>
    </w:p>
    <w:p w:rsidR="00EE4838" w:rsidRPr="00EE4838" w:rsidRDefault="00EE4838" w:rsidP="00EE4838">
      <w:pPr>
        <w:jc w:val="both"/>
        <w:rPr>
          <w:b/>
        </w:rPr>
      </w:pPr>
    </w:p>
    <w:p w:rsidR="00EE4838" w:rsidRPr="00EE4838" w:rsidRDefault="00EE4838" w:rsidP="00EE4838">
      <w:pPr>
        <w:jc w:val="both"/>
      </w:pPr>
      <w:r>
        <w:rPr>
          <w:b/>
        </w:rPr>
        <w:t>Empfohlene Lektüre</w:t>
      </w:r>
    </w:p>
    <w:p w:rsidR="00EE4838" w:rsidRPr="00EE4838" w:rsidRDefault="00EE4838" w:rsidP="00EE4838">
      <w:pPr>
        <w:jc w:val="both"/>
      </w:pPr>
    </w:p>
    <w:p w:rsidR="00EE4838" w:rsidRPr="00EE4838" w:rsidRDefault="00EE4838" w:rsidP="00EE4838">
      <w:pPr>
        <w:jc w:val="both"/>
      </w:pPr>
      <w:proofErr w:type="spellStart"/>
      <w:r w:rsidRPr="00EE4838">
        <w:rPr>
          <w:b/>
        </w:rPr>
        <w:t>Adamzik</w:t>
      </w:r>
      <w:proofErr w:type="spellEnd"/>
      <w:r w:rsidRPr="00EE4838">
        <w:t xml:space="preserve">, K. 2004. </w:t>
      </w:r>
      <w:r w:rsidRPr="00EE4838">
        <w:rPr>
          <w:i/>
        </w:rPr>
        <w:t>Textlinguistik. Eine einführende Darstellung</w:t>
      </w:r>
      <w:r w:rsidRPr="00EE4838">
        <w:t>. Tübingen: Max Niemeyer Verlag.  (=Germanistische Arbeitshefte 40)</w:t>
      </w:r>
    </w:p>
    <w:p w:rsidR="00EE4838" w:rsidRPr="00EE4838" w:rsidRDefault="00EE4838" w:rsidP="00EE4838">
      <w:pPr>
        <w:jc w:val="both"/>
      </w:pPr>
    </w:p>
    <w:p w:rsidR="00EE4838" w:rsidRPr="00EE4838" w:rsidRDefault="00EE4838" w:rsidP="00EE4838">
      <w:pPr>
        <w:jc w:val="both"/>
      </w:pPr>
      <w:r w:rsidRPr="00EE4838">
        <w:rPr>
          <w:b/>
        </w:rPr>
        <w:t xml:space="preserve">de </w:t>
      </w:r>
      <w:proofErr w:type="spellStart"/>
      <w:r w:rsidRPr="00EE4838">
        <w:rPr>
          <w:b/>
        </w:rPr>
        <w:t>Beaugrande</w:t>
      </w:r>
      <w:proofErr w:type="spellEnd"/>
      <w:r w:rsidRPr="00EE4838">
        <w:t xml:space="preserve">, Robert-Alain &amp; </w:t>
      </w:r>
      <w:r w:rsidRPr="00EE4838">
        <w:rPr>
          <w:b/>
        </w:rPr>
        <w:t>Dressler</w:t>
      </w:r>
      <w:r w:rsidRPr="00EE4838">
        <w:t xml:space="preserve">, Wolfgang Ulrich 1981. </w:t>
      </w:r>
      <w:r w:rsidRPr="00EE4838">
        <w:rPr>
          <w:i/>
          <w:iCs/>
        </w:rPr>
        <w:t>Einführung in die Textlinguistik</w:t>
      </w:r>
      <w:r w:rsidRPr="00EE4838">
        <w:t>. Tübingen: Niemeyer. (= Konzepte der Sprach- und Literaturwissenschaft 28) (</w:t>
      </w:r>
      <w:proofErr w:type="spellStart"/>
      <w:r w:rsidRPr="00EE4838">
        <w:t>magyarul</w:t>
      </w:r>
      <w:proofErr w:type="spellEnd"/>
      <w:r w:rsidRPr="00EE4838">
        <w:t xml:space="preserve">: </w:t>
      </w:r>
      <w:proofErr w:type="spellStart"/>
      <w:r w:rsidRPr="00EE4838">
        <w:t>Bevezetés</w:t>
      </w:r>
      <w:proofErr w:type="spellEnd"/>
      <w:r w:rsidRPr="00EE4838">
        <w:t xml:space="preserve"> a </w:t>
      </w:r>
      <w:proofErr w:type="spellStart"/>
      <w:r w:rsidRPr="00EE4838">
        <w:t>szövegnyelvészetbe</w:t>
      </w:r>
      <w:proofErr w:type="spellEnd"/>
      <w:r w:rsidRPr="00EE4838">
        <w:t xml:space="preserve">. Budapest: </w:t>
      </w:r>
      <w:proofErr w:type="spellStart"/>
      <w:r w:rsidRPr="00EE4838">
        <w:t>Corvina</w:t>
      </w:r>
      <w:proofErr w:type="spellEnd"/>
      <w:r w:rsidRPr="00EE4838">
        <w:t xml:space="preserve">. 2000.) </w:t>
      </w:r>
    </w:p>
    <w:p w:rsidR="00EE4838" w:rsidRPr="00EE4838" w:rsidRDefault="00EE4838" w:rsidP="00EE4838">
      <w:pPr>
        <w:jc w:val="both"/>
        <w:rPr>
          <w:b/>
        </w:rPr>
      </w:pPr>
    </w:p>
    <w:p w:rsidR="00EE4838" w:rsidRPr="00EE4838" w:rsidRDefault="00EE4838" w:rsidP="00EE4838">
      <w:pPr>
        <w:jc w:val="both"/>
      </w:pPr>
      <w:proofErr w:type="spellStart"/>
      <w:r w:rsidRPr="00EE4838">
        <w:rPr>
          <w:b/>
        </w:rPr>
        <w:t>Brinker</w:t>
      </w:r>
      <w:proofErr w:type="spellEnd"/>
      <w:r w:rsidRPr="00EE4838">
        <w:t xml:space="preserve">, Klaus 2005. </w:t>
      </w:r>
      <w:r w:rsidRPr="00EE4838">
        <w:rPr>
          <w:i/>
          <w:iCs/>
        </w:rPr>
        <w:t>Linguistische Textanalyse. Eine Einführung in Grundbegriffe und Methoden</w:t>
      </w:r>
      <w:r w:rsidRPr="00EE4838">
        <w:t>. 6. Aufl. Berlin: Schmidt. (= Grundlagen der Germanistik 29)</w:t>
      </w:r>
    </w:p>
    <w:p w:rsidR="00EE4838" w:rsidRPr="00EE4838" w:rsidRDefault="00EE4838" w:rsidP="00EE4838">
      <w:pPr>
        <w:jc w:val="both"/>
      </w:pPr>
    </w:p>
    <w:p w:rsidR="00EE4838" w:rsidRPr="00EE4838" w:rsidRDefault="00EE4838" w:rsidP="00EE4838">
      <w:pPr>
        <w:jc w:val="both"/>
      </w:pPr>
      <w:proofErr w:type="spellStart"/>
      <w:r w:rsidRPr="00EE4838">
        <w:rPr>
          <w:b/>
        </w:rPr>
        <w:t>Greule</w:t>
      </w:r>
      <w:proofErr w:type="spellEnd"/>
      <w:r w:rsidRPr="00EE4838">
        <w:t xml:space="preserve">, A. &amp; </w:t>
      </w:r>
      <w:r w:rsidRPr="00EE4838">
        <w:rPr>
          <w:b/>
        </w:rPr>
        <w:t>Reimann</w:t>
      </w:r>
      <w:r w:rsidRPr="00EE4838">
        <w:t>, S. 2015. Basiswissen Textgrammatik. Tübingen: Narr Francke. (=UTB 4226)</w:t>
      </w:r>
    </w:p>
    <w:p w:rsidR="00EE4838" w:rsidRPr="00EE4838" w:rsidRDefault="00EE4838" w:rsidP="00EE4838">
      <w:pPr>
        <w:jc w:val="both"/>
      </w:pPr>
    </w:p>
    <w:p w:rsidR="00EE4838" w:rsidRPr="00EE4838" w:rsidRDefault="00EE4838" w:rsidP="00EE4838">
      <w:pPr>
        <w:jc w:val="both"/>
      </w:pPr>
      <w:r w:rsidRPr="00EE4838">
        <w:rPr>
          <w:b/>
        </w:rPr>
        <w:t>Schwarz-Friesel</w:t>
      </w:r>
      <w:r w:rsidRPr="00EE4838">
        <w:t xml:space="preserve">, M. &amp; </w:t>
      </w:r>
      <w:proofErr w:type="spellStart"/>
      <w:r w:rsidRPr="00EE4838">
        <w:rPr>
          <w:b/>
        </w:rPr>
        <w:t>Consten</w:t>
      </w:r>
      <w:proofErr w:type="spellEnd"/>
      <w:r w:rsidRPr="00EE4838">
        <w:t xml:space="preserve">, M. 2014. </w:t>
      </w:r>
      <w:r w:rsidRPr="00EE4838">
        <w:rPr>
          <w:i/>
        </w:rPr>
        <w:t xml:space="preserve">Einführung in die Textlinguistik. </w:t>
      </w:r>
      <w:r w:rsidRPr="00EE4838">
        <w:t>Darmstadt: Wissenschaftliche Buchgesellschaft.</w:t>
      </w:r>
    </w:p>
    <w:p w:rsidR="00EE4838" w:rsidRPr="00EE4838" w:rsidRDefault="00EE4838" w:rsidP="00EE4838">
      <w:pPr>
        <w:jc w:val="both"/>
      </w:pPr>
    </w:p>
    <w:p w:rsidR="00EE4838" w:rsidRPr="00EE4838" w:rsidRDefault="00EE4838" w:rsidP="00EE4838">
      <w:pPr>
        <w:jc w:val="both"/>
      </w:pPr>
      <w:r w:rsidRPr="00EE4838">
        <w:rPr>
          <w:b/>
        </w:rPr>
        <w:t>Vater</w:t>
      </w:r>
      <w:r w:rsidRPr="00EE4838">
        <w:t xml:space="preserve">, H. 1996. </w:t>
      </w:r>
      <w:r w:rsidRPr="00EE4838">
        <w:rPr>
          <w:i/>
        </w:rPr>
        <w:t>Einführung in die Textlinguistik.</w:t>
      </w:r>
      <w:r w:rsidRPr="00EE4838">
        <w:t xml:space="preserve"> München: Fink. (=UTB 1660)</w:t>
      </w:r>
    </w:p>
    <w:p w:rsidR="00EE4838" w:rsidRPr="00EE4838" w:rsidRDefault="00EE4838" w:rsidP="00EE4838">
      <w:pPr>
        <w:jc w:val="both"/>
      </w:pPr>
    </w:p>
    <w:p w:rsidR="00EE4838" w:rsidRPr="00EE4838" w:rsidRDefault="00EE4838" w:rsidP="00EE4838">
      <w:pPr>
        <w:jc w:val="both"/>
      </w:pPr>
      <w:r w:rsidRPr="00EE4838">
        <w:rPr>
          <w:b/>
        </w:rPr>
        <w:t>Vater</w:t>
      </w:r>
      <w:r w:rsidRPr="00EE4838">
        <w:t xml:space="preserve">, H. 2007. </w:t>
      </w:r>
      <w:r w:rsidRPr="00EE4838">
        <w:rPr>
          <w:i/>
        </w:rPr>
        <w:t>Zeitlinguistik.</w:t>
      </w:r>
      <w:r w:rsidRPr="00EE4838">
        <w:t xml:space="preserve"> Trier:</w:t>
      </w:r>
      <w:r w:rsidRPr="00EE4838">
        <w:rPr>
          <w:rFonts w:ascii="Verdana" w:hAnsi="Verdana"/>
          <w:color w:val="333333"/>
          <w:sz w:val="22"/>
          <w:szCs w:val="22"/>
          <w:shd w:val="clear" w:color="auto" w:fill="FFFFFF"/>
        </w:rPr>
        <w:t xml:space="preserve"> </w:t>
      </w:r>
      <w:r w:rsidRPr="00EE4838">
        <w:t>WVT Wissenschaftlicher Verlag. (=FOKUS Linguistisch-Philologische Studien 33.)</w:t>
      </w:r>
    </w:p>
    <w:p w:rsidR="00EE4838" w:rsidRPr="00EE4838" w:rsidRDefault="00EE4838" w:rsidP="00EE4838">
      <w:pPr>
        <w:jc w:val="both"/>
      </w:pPr>
    </w:p>
    <w:p w:rsidR="00EE4838" w:rsidRPr="00EE4838" w:rsidRDefault="00EE4838" w:rsidP="00EE4838">
      <w:pPr>
        <w:jc w:val="both"/>
      </w:pPr>
    </w:p>
    <w:p w:rsidR="003E1245" w:rsidRPr="00EE4838" w:rsidRDefault="003E1245"/>
    <w:sectPr w:rsidR="003E1245" w:rsidRPr="00EE4838" w:rsidSect="002E355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5B6B"/>
    <w:multiLevelType w:val="hybridMultilevel"/>
    <w:tmpl w:val="F7B0A49E"/>
    <w:lvl w:ilvl="0" w:tplc="47D4EBC8">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
    <w:nsid w:val="1ABC45D5"/>
    <w:multiLevelType w:val="hybridMultilevel"/>
    <w:tmpl w:val="FF8C32BE"/>
    <w:lvl w:ilvl="0" w:tplc="A350B902">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38943B9F"/>
    <w:multiLevelType w:val="hybridMultilevel"/>
    <w:tmpl w:val="224C1244"/>
    <w:lvl w:ilvl="0" w:tplc="040E000F">
      <w:start w:val="1"/>
      <w:numFmt w:val="decimal"/>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838"/>
    <w:rsid w:val="003E1245"/>
    <w:rsid w:val="00585BC6"/>
    <w:rsid w:val="009167DC"/>
    <w:rsid w:val="00952953"/>
    <w:rsid w:val="00D31D2F"/>
    <w:rsid w:val="00EE4838"/>
    <w:rsid w:val="00FA69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4838"/>
    <w:pPr>
      <w:spacing w:after="0" w:line="240" w:lineRule="auto"/>
    </w:pPr>
    <w:rPr>
      <w:rFonts w:ascii="Times New Roman" w:eastAsia="Times New Roman" w:hAnsi="Times New Roman" w:cs="Times New Roman"/>
      <w:sz w:val="24"/>
      <w:szCs w:val="24"/>
      <w:lang w:val="de-DE" w:eastAsia="hu-HU"/>
    </w:rPr>
  </w:style>
  <w:style w:type="paragraph" w:styleId="Cmsor1">
    <w:name w:val="heading 1"/>
    <w:basedOn w:val="Norml"/>
    <w:next w:val="Norml"/>
    <w:link w:val="Cmsor1Char"/>
    <w:uiPriority w:val="9"/>
    <w:qFormat/>
    <w:rsid w:val="00EE4838"/>
    <w:pPr>
      <w:keepNext/>
      <w:outlineLvl w:val="0"/>
    </w:pPr>
    <w:rPr>
      <w:b/>
      <w:lang w:val="hu-HU"/>
    </w:rPr>
  </w:style>
  <w:style w:type="paragraph" w:styleId="Cmsor2">
    <w:name w:val="heading 2"/>
    <w:basedOn w:val="Norml"/>
    <w:next w:val="Norml"/>
    <w:link w:val="Cmsor2Char"/>
    <w:uiPriority w:val="9"/>
    <w:semiHidden/>
    <w:unhideWhenUsed/>
    <w:qFormat/>
    <w:rsid w:val="00EE48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E4838"/>
    <w:pPr>
      <w:keepNext/>
      <w:jc w:val="center"/>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E4838"/>
    <w:rPr>
      <w:rFonts w:ascii="Times New Roman" w:eastAsia="Times New Roman" w:hAnsi="Times New Roman" w:cs="Times New Roman"/>
      <w:b/>
      <w:sz w:val="24"/>
      <w:szCs w:val="24"/>
      <w:lang w:eastAsia="hu-HU"/>
    </w:rPr>
  </w:style>
  <w:style w:type="paragraph" w:styleId="Szvegtrzs">
    <w:name w:val="Body Text"/>
    <w:basedOn w:val="Norml"/>
    <w:link w:val="SzvegtrzsChar"/>
    <w:uiPriority w:val="99"/>
    <w:unhideWhenUsed/>
    <w:rsid w:val="00EE4838"/>
    <w:pPr>
      <w:jc w:val="both"/>
    </w:pPr>
    <w:rPr>
      <w:lang w:val="hu-HU"/>
    </w:rPr>
  </w:style>
  <w:style w:type="character" w:customStyle="1" w:styleId="SzvegtrzsChar">
    <w:name w:val="Szövegtörzs Char"/>
    <w:basedOn w:val="Bekezdsalapbettpusa"/>
    <w:link w:val="Szvegtrzs"/>
    <w:uiPriority w:val="99"/>
    <w:rsid w:val="00EE4838"/>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E4838"/>
    <w:pPr>
      <w:ind w:left="720"/>
      <w:contextualSpacing/>
    </w:pPr>
  </w:style>
  <w:style w:type="character" w:customStyle="1" w:styleId="Cmsor2Char">
    <w:name w:val="Címsor 2 Char"/>
    <w:basedOn w:val="Bekezdsalapbettpusa"/>
    <w:link w:val="Cmsor2"/>
    <w:uiPriority w:val="9"/>
    <w:semiHidden/>
    <w:rsid w:val="00EE4838"/>
    <w:rPr>
      <w:rFonts w:asciiTheme="majorHAnsi" w:eastAsiaTheme="majorEastAsia" w:hAnsiTheme="majorHAnsi" w:cstheme="majorBidi"/>
      <w:color w:val="2E74B5" w:themeColor="accent1" w:themeShade="BF"/>
      <w:sz w:val="26"/>
      <w:szCs w:val="26"/>
      <w:lang w:val="de-DE" w:eastAsia="hu-HU"/>
    </w:rPr>
  </w:style>
  <w:style w:type="character" w:customStyle="1" w:styleId="Cmsor3Char">
    <w:name w:val="Címsor 3 Char"/>
    <w:basedOn w:val="Bekezdsalapbettpusa"/>
    <w:link w:val="Cmsor3"/>
    <w:uiPriority w:val="9"/>
    <w:rsid w:val="00EE4838"/>
    <w:rPr>
      <w:rFonts w:ascii="Times New Roman" w:eastAsia="Times New Roman" w:hAnsi="Times New Roman" w:cs="Times New Roman"/>
      <w:b/>
      <w:sz w:val="24"/>
      <w:szCs w:val="24"/>
      <w:lang w:val="de-DE"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2751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3</cp:revision>
  <dcterms:created xsi:type="dcterms:W3CDTF">2022-02-21T11:11:00Z</dcterms:created>
  <dcterms:modified xsi:type="dcterms:W3CDTF">2022-02-21T11:11:00Z</dcterms:modified>
</cp:coreProperties>
</file>