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792649" w:rsidRDefault="00EA00FD" w:rsidP="000A0940">
      <w:pPr>
        <w:rPr>
          <w:b/>
          <w:sz w:val="28"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437E9C" w:rsidRPr="00792649">
        <w:rPr>
          <w:b/>
          <w:szCs w:val="22"/>
          <w:lang w:val="hu-HU"/>
        </w:rPr>
        <w:t>A német nyelv grammatikája 1.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437E9C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437E9C">
        <w:rPr>
          <w:b/>
          <w:lang w:val="hu-HU"/>
        </w:rPr>
        <w:t>4</w:t>
      </w:r>
    </w:p>
    <w:p w:rsidR="000A0940" w:rsidRDefault="000A0940" w:rsidP="000A0940">
      <w:pPr>
        <w:rPr>
          <w:b/>
          <w:lang w:val="hu-HU"/>
        </w:rPr>
      </w:pPr>
    </w:p>
    <w:p w:rsidR="000A0940" w:rsidRPr="00F240AD" w:rsidRDefault="000A0940" w:rsidP="0044159D">
      <w:pPr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F240AD" w:rsidRPr="00F240AD">
        <w:rPr>
          <w:lang w:val="hu-HU"/>
        </w:rPr>
        <w:t xml:space="preserve">A félév során 180 pont szerezhető. Egy kis zh. 10 pont ér. A félév során megírt összesen 9 kisebb zh-ból a legjobb 6 számít, ez </w:t>
      </w:r>
      <w:proofErr w:type="spellStart"/>
      <w:r w:rsidR="00F240AD" w:rsidRPr="00F240AD">
        <w:rPr>
          <w:lang w:val="hu-HU"/>
        </w:rPr>
        <w:t>max</w:t>
      </w:r>
      <w:proofErr w:type="spellEnd"/>
      <w:r w:rsidR="00F240AD" w:rsidRPr="00F240AD">
        <w:rPr>
          <w:lang w:val="hu-HU"/>
        </w:rPr>
        <w:t>. 60 pont. Az első nagyobb zh. 40 pont, az év végi ismétlő zh. 80 pont. A házi feladatokat szúrópróbaszerűen ellenőrizzük; egy el nem készített házi feladat 5 pont levonást jelent az összesített pontszámból. Ponthatárok a félévvégi jegy megállapításánál: 180 – 162 = jeles; 161–144 = jó; 143–126 = közepes; 125 – 108 = elégséges; 107 – 0 = elégtelen. Aki a félévzáró dolgozaton 48 pontnál (60%) kevesebbet ér el, a félév egészére elégtelent kap, függetlenül a félév során írt dolgozatok eredményétől. Megírt zárthelyi dolgozatot javítani nem lehet, csak meg nem írt dolgozatot pótolni!</w:t>
      </w:r>
    </w:p>
    <w:p w:rsidR="000A0940" w:rsidRPr="00F240AD" w:rsidRDefault="000A0940" w:rsidP="000A0940">
      <w:pPr>
        <w:rPr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r w:rsidR="00F240AD">
        <w:rPr>
          <w:i/>
          <w:sz w:val="22"/>
          <w:szCs w:val="22"/>
          <w:lang w:val="hu-HU"/>
        </w:rPr>
        <w:t>A német nyelv grammatikája 1</w:t>
      </w:r>
      <w:r w:rsidR="00F240AD" w:rsidRPr="00846F97">
        <w:rPr>
          <w:i/>
          <w:sz w:val="22"/>
          <w:szCs w:val="22"/>
          <w:lang w:val="hu-HU"/>
        </w:rPr>
        <w:t>.</w:t>
      </w:r>
      <w:r w:rsidR="00F240AD" w:rsidRPr="00846F97">
        <w:rPr>
          <w:sz w:val="22"/>
          <w:szCs w:val="22"/>
          <w:lang w:val="hu-HU"/>
        </w:rPr>
        <w:t xml:space="preserve"> kurzus a középiskolában szerzett nyelvtani ismeretekre építkezve, az</w:t>
      </w:r>
      <w:r w:rsidR="00F240AD">
        <w:rPr>
          <w:sz w:val="22"/>
          <w:szCs w:val="22"/>
          <w:lang w:val="hu-HU"/>
        </w:rPr>
        <w:t>oka</w:t>
      </w:r>
      <w:r w:rsidR="00F240AD" w:rsidRPr="00846F97">
        <w:rPr>
          <w:sz w:val="22"/>
          <w:szCs w:val="22"/>
          <w:lang w:val="hu-HU"/>
        </w:rPr>
        <w:t xml:space="preserve">t átismételve rendszeres áttekintést kíván nyújtani a német </w:t>
      </w:r>
      <w:r w:rsidR="00F240AD" w:rsidRPr="00846F97">
        <w:rPr>
          <w:b/>
          <w:sz w:val="22"/>
          <w:szCs w:val="22"/>
          <w:lang w:val="hu-HU"/>
        </w:rPr>
        <w:t>igé</w:t>
      </w:r>
      <w:r w:rsidR="00F240AD" w:rsidRPr="00846F97">
        <w:rPr>
          <w:sz w:val="22"/>
          <w:szCs w:val="22"/>
          <w:lang w:val="hu-HU"/>
        </w:rPr>
        <w:t xml:space="preserve">ről. Az órát heti négy órában tartjuk. Az ige </w:t>
      </w:r>
      <w:r w:rsidR="00F240AD" w:rsidRPr="00846F97">
        <w:rPr>
          <w:b/>
          <w:sz w:val="22"/>
          <w:szCs w:val="22"/>
          <w:lang w:val="hu-HU"/>
        </w:rPr>
        <w:t>ragozás</w:t>
      </w:r>
      <w:r w:rsidR="00F240AD" w:rsidRPr="00846F97">
        <w:rPr>
          <w:sz w:val="22"/>
          <w:szCs w:val="22"/>
          <w:lang w:val="hu-HU"/>
        </w:rPr>
        <w:t xml:space="preserve">a, az </w:t>
      </w:r>
      <w:r w:rsidR="00F240AD" w:rsidRPr="00846F97">
        <w:rPr>
          <w:b/>
          <w:sz w:val="22"/>
          <w:szCs w:val="22"/>
          <w:lang w:val="hu-HU"/>
        </w:rPr>
        <w:t>igeidő</w:t>
      </w:r>
      <w:r w:rsidR="00F240AD" w:rsidRPr="00846F97">
        <w:rPr>
          <w:sz w:val="22"/>
          <w:szCs w:val="22"/>
          <w:lang w:val="hu-HU"/>
        </w:rPr>
        <w:t xml:space="preserve">k, az </w:t>
      </w:r>
      <w:r w:rsidR="00F240AD" w:rsidRPr="00846F97">
        <w:rPr>
          <w:b/>
          <w:sz w:val="22"/>
          <w:szCs w:val="22"/>
          <w:lang w:val="hu-HU"/>
        </w:rPr>
        <w:t>igemód</w:t>
      </w:r>
      <w:r w:rsidR="00F240AD" w:rsidRPr="00846F97">
        <w:rPr>
          <w:sz w:val="22"/>
          <w:szCs w:val="22"/>
          <w:lang w:val="hu-HU"/>
        </w:rPr>
        <w:t xml:space="preserve">ok és a </w:t>
      </w:r>
      <w:r w:rsidR="00F240AD" w:rsidRPr="00846F97">
        <w:rPr>
          <w:b/>
          <w:sz w:val="22"/>
          <w:szCs w:val="22"/>
          <w:lang w:val="hu-HU"/>
        </w:rPr>
        <w:t>szenvedő szerkezet</w:t>
      </w:r>
      <w:r w:rsidR="00F240AD" w:rsidRPr="00846F97">
        <w:rPr>
          <w:sz w:val="22"/>
          <w:szCs w:val="22"/>
          <w:lang w:val="hu-HU"/>
        </w:rPr>
        <w:t xml:space="preserve"> tárgyalása mellett kitérünk olyan témákra is, mint például az </w:t>
      </w:r>
      <w:r w:rsidR="00F240AD" w:rsidRPr="00846F97">
        <w:rPr>
          <w:b/>
          <w:sz w:val="22"/>
          <w:szCs w:val="22"/>
          <w:lang w:val="hu-HU"/>
        </w:rPr>
        <w:t>elváló/nem elváló igekötő</w:t>
      </w:r>
      <w:r w:rsidR="00F240AD" w:rsidRPr="00846F97">
        <w:rPr>
          <w:sz w:val="22"/>
          <w:szCs w:val="22"/>
          <w:lang w:val="hu-HU"/>
        </w:rPr>
        <w:t xml:space="preserve">k, a </w:t>
      </w:r>
      <w:r w:rsidR="00F240AD" w:rsidRPr="00846F97">
        <w:rPr>
          <w:b/>
          <w:sz w:val="22"/>
          <w:szCs w:val="22"/>
          <w:lang w:val="hu-HU"/>
        </w:rPr>
        <w:t>visszaható igék</w:t>
      </w:r>
      <w:r w:rsidR="00F240AD" w:rsidRPr="00846F97">
        <w:rPr>
          <w:sz w:val="22"/>
          <w:szCs w:val="22"/>
          <w:lang w:val="hu-HU"/>
        </w:rPr>
        <w:t xml:space="preserve"> és az </w:t>
      </w:r>
      <w:r w:rsidR="00F240AD" w:rsidRPr="00846F97">
        <w:rPr>
          <w:b/>
          <w:sz w:val="22"/>
          <w:szCs w:val="22"/>
          <w:lang w:val="hu-HU"/>
        </w:rPr>
        <w:t>igevonzatok</w:t>
      </w:r>
      <w:r w:rsidR="00F240AD" w:rsidRPr="00846F97">
        <w:rPr>
          <w:sz w:val="22"/>
          <w:szCs w:val="22"/>
          <w:lang w:val="hu-HU"/>
        </w:rPr>
        <w:t>. Az elméleti és gyakorlati ismeretek elsajátítása és elmélyítése a szeminárium keretein belül megoldott feladatok mellett házi feladatok segítségével történik. A munkanyelv elsősorban a német, de szükség lehet magyar nyelvű kiegészítésekre, magyarázatokra is. A hallgatóknak azonban fokozatosan meg kell ismerkedniük a német nyelvtani terminológiával.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8127"/>
      </w:tblGrid>
      <w:tr w:rsidR="00750874" w:rsidRPr="00845EB1" w:rsidTr="00EA00FD"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50874" w:rsidRPr="00845EB1" w:rsidRDefault="00750874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750874" w:rsidRPr="00845EB1" w:rsidTr="00EA00FD">
        <w:tc>
          <w:tcPr>
            <w:tcW w:w="8127" w:type="dxa"/>
            <w:tcBorders>
              <w:top w:val="double" w:sz="6" w:space="0" w:color="auto"/>
            </w:tcBorders>
          </w:tcPr>
          <w:p w:rsidR="00750874" w:rsidRPr="004E4DFB" w:rsidRDefault="00750874" w:rsidP="00C85A3C">
            <w:r w:rsidRPr="004E4DFB">
              <w:t>Organisatorisches</w:t>
            </w:r>
            <w:r>
              <w:t>, Einführung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Formenbildung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Formenbildung des Verbs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proofErr w:type="spellStart"/>
            <w:r w:rsidRPr="004E4DFB">
              <w:t>Perfektbildung</w:t>
            </w:r>
            <w:proofErr w:type="spellEnd"/>
            <w:r w:rsidRPr="004E4DFB">
              <w:t xml:space="preserve"> mit </w:t>
            </w:r>
            <w:r w:rsidRPr="004E4DFB">
              <w:rPr>
                <w:i/>
              </w:rPr>
              <w:t>haben</w:t>
            </w:r>
            <w:r w:rsidRPr="004E4DFB">
              <w:t>/</w:t>
            </w:r>
            <w:r w:rsidRPr="004E4DFB">
              <w:rPr>
                <w:i/>
              </w:rPr>
              <w:t>sein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Trennbarkeit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Trennbarkeit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2927BE" w:rsidRDefault="00750874" w:rsidP="005A454F">
            <w:proofErr w:type="spellStart"/>
            <w:r w:rsidRPr="002927BE">
              <w:t>Impersonalia</w:t>
            </w:r>
            <w:proofErr w:type="spellEnd"/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Reflexive Verben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Das Vorgangspassiv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Das Vorgangspassiv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Konkurrenzformen des Vorgangspassivs</w:t>
            </w:r>
          </w:p>
        </w:tc>
      </w:tr>
      <w:tr w:rsidR="00750874" w:rsidRPr="00845EB1" w:rsidTr="00F35C9E">
        <w:trPr>
          <w:trHeight w:val="278"/>
        </w:trPr>
        <w:tc>
          <w:tcPr>
            <w:tcW w:w="8127" w:type="dxa"/>
          </w:tcPr>
          <w:p w:rsidR="00750874" w:rsidRPr="004E4DFB" w:rsidRDefault="00750874" w:rsidP="005A454F">
            <w:r>
              <w:t>Konkurrenzformen des Vorgangspassivs</w:t>
            </w:r>
          </w:p>
        </w:tc>
      </w:tr>
      <w:tr w:rsidR="00750874" w:rsidRPr="00845EB1" w:rsidTr="00EA00FD">
        <w:trPr>
          <w:trHeight w:val="277"/>
        </w:trPr>
        <w:tc>
          <w:tcPr>
            <w:tcW w:w="8127" w:type="dxa"/>
          </w:tcPr>
          <w:p w:rsidR="00750874" w:rsidRPr="004E4DFB" w:rsidRDefault="00750874" w:rsidP="005A454F">
            <w:r>
              <w:t>Gebrauch des Vorgangspassivs und Zustandspassiv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Präsens und Zukunft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5A454F">
            <w:r>
              <w:t>Vergangenheitstempora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EC5C31" w:rsidRDefault="00750874" w:rsidP="00592B42">
            <w:r w:rsidRPr="00BA50F9">
              <w:rPr>
                <w:b/>
              </w:rPr>
              <w:t>Klausur I</w:t>
            </w:r>
            <w:r>
              <w:t>; Konjunktiv außerhalb der indirekten Rede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3C7A00">
            <w:r>
              <w:t>Konjunktiv außerhalb der indirekten Rede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3C7A00">
            <w:r>
              <w:t>Konjunktiv in der indirekten Rede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3C7A00">
            <w:r>
              <w:t>Imperativ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3C7A00">
            <w:r>
              <w:t>Modalverben 1.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3C7A00">
            <w:r>
              <w:t>Modalverben 2.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4E4DFB" w:rsidRDefault="00750874" w:rsidP="003C7A00">
            <w:r>
              <w:t>Der Infinitiv, das Partizip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</w:tcPr>
          <w:p w:rsidR="00750874" w:rsidRPr="004E4DFB" w:rsidRDefault="00750874" w:rsidP="003C7A00">
            <w:r>
              <w:lastRenderedPageBreak/>
              <w:t>Das Partizip, Rektion der Verben</w:t>
            </w:r>
          </w:p>
        </w:tc>
      </w:tr>
      <w:tr w:rsidR="00750874" w:rsidRPr="00845EB1" w:rsidTr="00F35C9E">
        <w:trPr>
          <w:trHeight w:val="135"/>
        </w:trPr>
        <w:tc>
          <w:tcPr>
            <w:tcW w:w="8127" w:type="dxa"/>
          </w:tcPr>
          <w:p w:rsidR="00750874" w:rsidRPr="00BA50F9" w:rsidRDefault="00750874" w:rsidP="00592B42">
            <w:pPr>
              <w:rPr>
                <w:b/>
              </w:rPr>
            </w:pPr>
            <w:r w:rsidRPr="00BA50F9">
              <w:rPr>
                <w:b/>
              </w:rPr>
              <w:t>Klausur II</w:t>
            </w:r>
          </w:p>
        </w:tc>
      </w:tr>
      <w:tr w:rsidR="00750874" w:rsidRPr="00845EB1" w:rsidTr="00EA00FD">
        <w:trPr>
          <w:trHeight w:val="135"/>
        </w:trPr>
        <w:tc>
          <w:tcPr>
            <w:tcW w:w="8127" w:type="dxa"/>
            <w:tcBorders>
              <w:bottom w:val="double" w:sz="6" w:space="0" w:color="000000"/>
            </w:tcBorders>
          </w:tcPr>
          <w:p w:rsidR="00750874" w:rsidRPr="00EC5C31" w:rsidRDefault="00750874" w:rsidP="00592B42">
            <w:r>
              <w:t>Bewertung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Default="0044159D" w:rsidP="000A0940">
      <w:pPr>
        <w:rPr>
          <w:lang w:val="hu-HU"/>
        </w:rPr>
      </w:pPr>
      <w:r w:rsidRPr="004E4DFB">
        <w:rPr>
          <w:lang w:val="hu-HU"/>
        </w:rPr>
        <w:t xml:space="preserve">Kocsány, Piroska; Sarolta, László; Krisztián, Majoros; Máté, Tóth: </w:t>
      </w:r>
      <w:r w:rsidRPr="004E4DFB">
        <w:rPr>
          <w:i/>
          <w:lang w:val="hu-HU"/>
        </w:rPr>
        <w:t xml:space="preserve">Die </w:t>
      </w:r>
      <w:proofErr w:type="spellStart"/>
      <w:r w:rsidRPr="004E4DFB">
        <w:rPr>
          <w:i/>
          <w:lang w:val="hu-HU"/>
        </w:rPr>
        <w:t>Wortklassen</w:t>
      </w:r>
      <w:proofErr w:type="spellEnd"/>
      <w:r w:rsidRPr="004E4DFB">
        <w:rPr>
          <w:i/>
          <w:lang w:val="hu-HU"/>
        </w:rPr>
        <w:t xml:space="preserve"> des </w:t>
      </w:r>
      <w:proofErr w:type="spellStart"/>
      <w:r w:rsidRPr="004E4DFB">
        <w:rPr>
          <w:i/>
          <w:lang w:val="hu-HU"/>
        </w:rPr>
        <w:t>Deutschen</w:t>
      </w:r>
      <w:proofErr w:type="spellEnd"/>
      <w:r w:rsidRPr="004E4DFB">
        <w:rPr>
          <w:lang w:val="hu-HU"/>
        </w:rPr>
        <w:t xml:space="preserve">. Wien: </w:t>
      </w:r>
      <w:proofErr w:type="spellStart"/>
      <w:r w:rsidRPr="004E4DFB">
        <w:rPr>
          <w:lang w:val="hu-HU"/>
        </w:rPr>
        <w:t>Praesens</w:t>
      </w:r>
      <w:proofErr w:type="spellEnd"/>
      <w:r w:rsidRPr="004E4DFB">
        <w:rPr>
          <w:lang w:val="hu-HU"/>
        </w:rPr>
        <w:t>.</w:t>
      </w:r>
    </w:p>
    <w:p w:rsidR="0044159D" w:rsidRDefault="0044159D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44159D" w:rsidRPr="004E4DFB" w:rsidRDefault="0044159D" w:rsidP="0044159D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Dreyer</w:t>
      </w:r>
      <w:proofErr w:type="spellEnd"/>
      <w:r w:rsidRPr="004E4DFB">
        <w:rPr>
          <w:color w:val="000000"/>
          <w:lang w:val="hu-HU"/>
        </w:rPr>
        <w:t xml:space="preserve">, </w:t>
      </w:r>
      <w:proofErr w:type="spellStart"/>
      <w:r w:rsidRPr="004E4DFB">
        <w:rPr>
          <w:color w:val="000000"/>
          <w:lang w:val="hu-HU"/>
        </w:rPr>
        <w:t>Hilke</w:t>
      </w:r>
      <w:proofErr w:type="spellEnd"/>
      <w:r w:rsidRPr="004E4DFB">
        <w:rPr>
          <w:color w:val="000000"/>
          <w:lang w:val="hu-HU"/>
        </w:rPr>
        <w:t xml:space="preserve">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proofErr w:type="spellStart"/>
      <w:r w:rsidRPr="004E4DFB">
        <w:rPr>
          <w:i/>
          <w:color w:val="000000"/>
          <w:lang w:val="hu-HU"/>
        </w:rPr>
        <w:t>Lehr-</w:t>
      </w:r>
      <w:proofErr w:type="spellEnd"/>
      <w:r w:rsidRPr="004E4DFB">
        <w:rPr>
          <w:i/>
          <w:color w:val="000000"/>
          <w:lang w:val="hu-HU"/>
        </w:rPr>
        <w:t xml:space="preserve"> und </w:t>
      </w:r>
      <w:proofErr w:type="spellStart"/>
      <w:r w:rsidRPr="004E4DFB">
        <w:rPr>
          <w:i/>
          <w:color w:val="000000"/>
          <w:lang w:val="hu-HU"/>
        </w:rPr>
        <w:t>Übungsbuch</w:t>
      </w:r>
      <w:proofErr w:type="spellEnd"/>
      <w:r w:rsidRPr="004E4DFB">
        <w:rPr>
          <w:i/>
          <w:color w:val="000000"/>
          <w:lang w:val="hu-HU"/>
        </w:rPr>
        <w:t xml:space="preserve"> der </w:t>
      </w:r>
      <w:proofErr w:type="spellStart"/>
      <w:r w:rsidRPr="004E4DFB">
        <w:rPr>
          <w:i/>
          <w:color w:val="000000"/>
          <w:lang w:val="hu-HU"/>
        </w:rPr>
        <w:t>deutschen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color w:val="000000"/>
          <w:lang w:val="hu-HU"/>
        </w:rPr>
        <w:t xml:space="preserve">. (Die </w:t>
      </w:r>
      <w:proofErr w:type="spellStart"/>
      <w:r w:rsidRPr="004E4DFB">
        <w:rPr>
          <w:color w:val="000000"/>
          <w:lang w:val="hu-HU"/>
        </w:rPr>
        <w:t>Gelbe</w:t>
      </w:r>
      <w:proofErr w:type="spellEnd"/>
      <w:r w:rsidRPr="004E4DFB">
        <w:rPr>
          <w:color w:val="000000"/>
          <w:lang w:val="hu-HU"/>
        </w:rPr>
        <w:t xml:space="preserve"> </w:t>
      </w:r>
      <w:proofErr w:type="spellStart"/>
      <w:r w:rsidRPr="004E4DFB">
        <w:rPr>
          <w:color w:val="000000"/>
          <w:lang w:val="hu-HU"/>
        </w:rPr>
        <w:t>aktuell</w:t>
      </w:r>
      <w:proofErr w:type="spellEnd"/>
      <w:r w:rsidRPr="004E4DFB">
        <w:rPr>
          <w:color w:val="000000"/>
          <w:lang w:val="hu-HU"/>
        </w:rPr>
        <w:t xml:space="preserve">). Augsburg: </w:t>
      </w:r>
      <w:proofErr w:type="spellStart"/>
      <w:r w:rsidRPr="004E4DFB">
        <w:rPr>
          <w:color w:val="000000"/>
          <w:lang w:val="hu-HU"/>
        </w:rPr>
        <w:t>Hueber</w:t>
      </w:r>
      <w:proofErr w:type="spellEnd"/>
      <w:r w:rsidRPr="004E4DFB">
        <w:rPr>
          <w:color w:val="000000"/>
          <w:lang w:val="hu-HU"/>
        </w:rPr>
        <w:t>.</w:t>
      </w:r>
    </w:p>
    <w:p w:rsidR="0044159D" w:rsidRPr="004E4DFB" w:rsidRDefault="0044159D" w:rsidP="0044159D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(2000). </w:t>
      </w:r>
      <w:proofErr w:type="spellStart"/>
      <w:r w:rsidRPr="004E4DFB">
        <w:rPr>
          <w:i/>
          <w:color w:val="000000"/>
          <w:lang w:val="hu-HU"/>
        </w:rPr>
        <w:t>Übungsgrammatik</w:t>
      </w:r>
      <w:proofErr w:type="spellEnd"/>
      <w:r w:rsidRPr="004E4DFB">
        <w:rPr>
          <w:i/>
          <w:color w:val="000000"/>
          <w:lang w:val="hu-HU"/>
        </w:rPr>
        <w:t xml:space="preserve"> Deutsch</w:t>
      </w:r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44159D" w:rsidRPr="004E4DFB" w:rsidRDefault="0044159D" w:rsidP="0044159D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 xml:space="preserve">Deutsche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i/>
          <w:color w:val="000000"/>
          <w:lang w:val="hu-HU"/>
        </w:rPr>
        <w:t xml:space="preserve">. </w:t>
      </w:r>
      <w:proofErr w:type="spellStart"/>
      <w:r w:rsidRPr="004E4DFB">
        <w:rPr>
          <w:i/>
          <w:color w:val="000000"/>
          <w:lang w:val="hu-HU"/>
        </w:rPr>
        <w:t>Ein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Handbuch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für</w:t>
      </w:r>
      <w:proofErr w:type="spellEnd"/>
      <w:r w:rsidRPr="004E4DFB">
        <w:rPr>
          <w:i/>
          <w:color w:val="000000"/>
          <w:lang w:val="hu-HU"/>
        </w:rPr>
        <w:t xml:space="preserve"> den </w:t>
      </w:r>
      <w:proofErr w:type="spellStart"/>
      <w:r w:rsidRPr="004E4DFB">
        <w:rPr>
          <w:i/>
          <w:color w:val="000000"/>
          <w:lang w:val="hu-HU"/>
        </w:rPr>
        <w:t>Ausländerunterricht</w:t>
      </w:r>
      <w:proofErr w:type="spellEnd"/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44159D" w:rsidRPr="00846F97" w:rsidRDefault="0044159D" w:rsidP="0044159D">
      <w:pPr>
        <w:rPr>
          <w:sz w:val="22"/>
          <w:szCs w:val="22"/>
          <w:lang w:val="hu-HU"/>
        </w:rPr>
      </w:pPr>
      <w:proofErr w:type="spellStart"/>
      <w:r w:rsidRPr="004E4DFB">
        <w:rPr>
          <w:b/>
          <w:lang w:val="hu-HU"/>
        </w:rPr>
        <w:t>Scheiner</w:t>
      </w:r>
      <w:proofErr w:type="spellEnd"/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proofErr w:type="spellStart"/>
      <w:r w:rsidRPr="004E4DFB">
        <w:rPr>
          <w:i/>
          <w:iCs/>
          <w:lang w:val="hu-HU"/>
        </w:rPr>
        <w:t>Übungsgrammatik</w:t>
      </w:r>
      <w:proofErr w:type="spellEnd"/>
      <w:r w:rsidRPr="004E4DFB">
        <w:rPr>
          <w:i/>
          <w:iCs/>
          <w:lang w:val="hu-HU"/>
        </w:rPr>
        <w:t xml:space="preserve"> Deutsch </w:t>
      </w:r>
      <w:proofErr w:type="spellStart"/>
      <w:r w:rsidRPr="004E4DFB">
        <w:rPr>
          <w:i/>
          <w:iCs/>
          <w:lang w:val="hu-HU"/>
        </w:rPr>
        <w:t>als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Fremdsprache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für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Fortgeschrittene</w:t>
      </w:r>
      <w:proofErr w:type="spellEnd"/>
      <w:r w:rsidRPr="004E4DFB">
        <w:rPr>
          <w:i/>
          <w:iCs/>
          <w:lang w:val="hu-HU"/>
        </w:rPr>
        <w:t xml:space="preserve">. </w:t>
      </w:r>
      <w:r w:rsidRPr="004E4DFB">
        <w:rPr>
          <w:lang w:val="hu-HU"/>
        </w:rPr>
        <w:t xml:space="preserve">4. </w:t>
      </w:r>
      <w:proofErr w:type="spellStart"/>
      <w:r w:rsidRPr="004E4DFB">
        <w:rPr>
          <w:lang w:val="hu-HU"/>
        </w:rPr>
        <w:t>Aufl</w:t>
      </w:r>
      <w:proofErr w:type="spellEnd"/>
      <w:r w:rsidRPr="004E4DFB">
        <w:rPr>
          <w:lang w:val="hu-HU"/>
        </w:rPr>
        <w:t>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 xml:space="preserve">Augsburg: </w:t>
      </w:r>
      <w:proofErr w:type="spellStart"/>
      <w:r w:rsidRPr="004E4DFB">
        <w:rPr>
          <w:lang w:val="hu-HU"/>
        </w:rPr>
        <w:t>Hueber</w:t>
      </w:r>
      <w:proofErr w:type="spellEnd"/>
      <w:r w:rsidRPr="004E4DFB">
        <w:rPr>
          <w:lang w:val="hu-HU"/>
        </w:rPr>
        <w:t>.</w:t>
      </w: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0C5218"/>
    <w:rsid w:val="00102682"/>
    <w:rsid w:val="00115327"/>
    <w:rsid w:val="0029097F"/>
    <w:rsid w:val="002E3551"/>
    <w:rsid w:val="00337257"/>
    <w:rsid w:val="00352458"/>
    <w:rsid w:val="003C7A00"/>
    <w:rsid w:val="00413249"/>
    <w:rsid w:val="00437E9C"/>
    <w:rsid w:val="0044159D"/>
    <w:rsid w:val="0045348C"/>
    <w:rsid w:val="0046119A"/>
    <w:rsid w:val="004E18D3"/>
    <w:rsid w:val="004F4E59"/>
    <w:rsid w:val="004F7368"/>
    <w:rsid w:val="00592B42"/>
    <w:rsid w:val="005A454F"/>
    <w:rsid w:val="006277C1"/>
    <w:rsid w:val="00750874"/>
    <w:rsid w:val="00792649"/>
    <w:rsid w:val="007A0115"/>
    <w:rsid w:val="007A10BA"/>
    <w:rsid w:val="008875B4"/>
    <w:rsid w:val="009952AF"/>
    <w:rsid w:val="009D1B78"/>
    <w:rsid w:val="00A716AF"/>
    <w:rsid w:val="00AC0ACE"/>
    <w:rsid w:val="00BA50F9"/>
    <w:rsid w:val="00BF1462"/>
    <w:rsid w:val="00C14B68"/>
    <w:rsid w:val="00C26399"/>
    <w:rsid w:val="00C66B5A"/>
    <w:rsid w:val="00C85A3C"/>
    <w:rsid w:val="00CF06F7"/>
    <w:rsid w:val="00CF57F6"/>
    <w:rsid w:val="00DA3331"/>
    <w:rsid w:val="00EA00FD"/>
    <w:rsid w:val="00ED0C4F"/>
    <w:rsid w:val="00F240AD"/>
    <w:rsid w:val="00F3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2022-02-21T09:37:00Z</dcterms:created>
  <dcterms:modified xsi:type="dcterms:W3CDTF">2022-02-21T09:38:00Z</dcterms:modified>
</cp:coreProperties>
</file>