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7"/>
        <w:gridCol w:w="2475"/>
      </w:tblGrid>
      <w:tr w:rsidR="00D01335" w:rsidRPr="008A2386" w:rsidTr="00D01335"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35" w:rsidRDefault="00D01335" w:rsidP="00011E60">
            <w:pPr>
              <w:rPr>
                <w:b/>
              </w:rPr>
            </w:pPr>
            <w:proofErr w:type="spellStart"/>
            <w:r>
              <w:t>LV-Titel</w:t>
            </w:r>
            <w:proofErr w:type="spellEnd"/>
            <w:r w:rsidRPr="008A2386">
              <w:t>:</w:t>
            </w:r>
            <w:r w:rsidRPr="008A23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Phänomene</w:t>
            </w:r>
            <w:proofErr w:type="spellEnd"/>
            <w:r>
              <w:rPr>
                <w:b/>
              </w:rPr>
              <w:t xml:space="preserve"> der 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 </w:t>
            </w:r>
          </w:p>
          <w:p w:rsidR="00D01335" w:rsidRPr="008A2386" w:rsidRDefault="00D01335" w:rsidP="00011E60">
            <w:pPr>
              <w:rPr>
                <w:b/>
                <w:i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35" w:rsidRPr="008A2386" w:rsidRDefault="00D01335" w:rsidP="00011E60">
            <w:pPr>
              <w:rPr>
                <w:b/>
              </w:rPr>
            </w:pPr>
          </w:p>
        </w:tc>
      </w:tr>
      <w:tr w:rsidR="00D01335" w:rsidRPr="008A2386" w:rsidTr="00D01335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35" w:rsidRPr="008A2386" w:rsidRDefault="00D01335" w:rsidP="00011E60">
            <w:proofErr w:type="spellStart"/>
            <w:r>
              <w:rPr>
                <w:b/>
              </w:rPr>
              <w:t>obligatorisch</w:t>
            </w:r>
            <w:proofErr w:type="spellEnd"/>
            <w:r w:rsidRPr="008A2386">
              <w:rPr>
                <w:b/>
              </w:rPr>
              <w:t xml:space="preserve"> </w:t>
            </w:r>
          </w:p>
        </w:tc>
      </w:tr>
      <w:tr w:rsidR="00D01335" w:rsidRPr="008A2386" w:rsidTr="00D01335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35" w:rsidRPr="008A2386" w:rsidRDefault="00D01335" w:rsidP="00011E60">
            <w:proofErr w:type="spellStart"/>
            <w:r>
              <w:rPr>
                <w:b/>
              </w:rPr>
              <w:t>Unterrichtsform</w:t>
            </w:r>
            <w:proofErr w:type="spellEnd"/>
            <w:r>
              <w:t xml:space="preserve">: </w:t>
            </w:r>
            <w:proofErr w:type="spellStart"/>
            <w:r>
              <w:t>Vorlesung</w:t>
            </w:r>
            <w:proofErr w:type="spellEnd"/>
            <w:r>
              <w:t xml:space="preserve"> / </w:t>
            </w:r>
            <w:proofErr w:type="spellStart"/>
            <w:r w:rsidRPr="00CD1A77">
              <w:rPr>
                <w:b/>
              </w:rPr>
              <w:t>Seminar</w:t>
            </w:r>
            <w:proofErr w:type="spellEnd"/>
            <w:r>
              <w:t xml:space="preserve"> / </w:t>
            </w:r>
            <w:proofErr w:type="spellStart"/>
            <w:r>
              <w:t>Konsultation</w:t>
            </w:r>
            <w:proofErr w:type="spellEnd"/>
            <w:r w:rsidRPr="008A2386">
              <w:t xml:space="preserve"> </w:t>
            </w:r>
            <w:proofErr w:type="spellStart"/>
            <w:r>
              <w:rPr>
                <w:b/>
              </w:rPr>
              <w:t>Stundenzahl</w:t>
            </w:r>
            <w:proofErr w:type="spellEnd"/>
            <w:r w:rsidRPr="008A2386">
              <w:t xml:space="preserve">: 2 </w:t>
            </w:r>
            <w:r>
              <w:t xml:space="preserve">St. / </w:t>
            </w:r>
            <w:proofErr w:type="spellStart"/>
            <w:r>
              <w:t>Woche</w:t>
            </w:r>
            <w:proofErr w:type="spellEnd"/>
            <w:r>
              <w:t xml:space="preserve"> </w:t>
            </w:r>
            <w:proofErr w:type="spellStart"/>
            <w:r w:rsidRPr="00CD1A77">
              <w:rPr>
                <w:b/>
              </w:rPr>
              <w:t>Lehrsprache</w:t>
            </w:r>
            <w:proofErr w:type="spellEnd"/>
            <w:r w:rsidRPr="00CD1A77">
              <w:t>: Deutsch</w:t>
            </w:r>
          </w:p>
        </w:tc>
      </w:tr>
      <w:tr w:rsidR="00B86289" w:rsidRPr="008A2386" w:rsidTr="00D01335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Default="00D01335" w:rsidP="009E5BCA">
            <w:pPr>
              <w:jc w:val="both"/>
            </w:pPr>
            <w:proofErr w:type="spellStart"/>
            <w:r>
              <w:t>Kursbeschreibung</w:t>
            </w:r>
            <w:proofErr w:type="spellEnd"/>
            <w:r>
              <w:t>:</w:t>
            </w:r>
          </w:p>
          <w:p w:rsidR="00D01335" w:rsidRPr="008A2386" w:rsidRDefault="00D01335" w:rsidP="009E5BCA">
            <w:pPr>
              <w:jc w:val="both"/>
            </w:pPr>
          </w:p>
          <w:p w:rsidR="00B86289" w:rsidRPr="008E1B21" w:rsidRDefault="008E1B21" w:rsidP="00D01335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val="de-DE" w:eastAsia="hu-HU"/>
              </w:rPr>
              <w:t>Seit den 80er Jahren ist Interkulturalit</w:t>
            </w:r>
            <w:r>
              <w:rPr>
                <w:rFonts w:cs="Times New Roman"/>
                <w:szCs w:val="24"/>
                <w:lang w:val="de-DE"/>
              </w:rPr>
              <w:t>ät innerhalb der Germanistik zu einem forschungsleitenden Begriff geworden</w:t>
            </w:r>
            <w:r w:rsidR="00D01335">
              <w:rPr>
                <w:rFonts w:cs="Times New Roman"/>
                <w:szCs w:val="24"/>
                <w:lang w:val="de-DE"/>
              </w:rPr>
              <w:t xml:space="preserve"> und sie wurde zu einem zentralen Begriff innerhalb der öffentlichen Diskussionen. </w:t>
            </w:r>
            <w:proofErr w:type="spellStart"/>
            <w:r w:rsidRPr="008E1B21">
              <w:rPr>
                <w:szCs w:val="24"/>
              </w:rPr>
              <w:t>Das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Ziel</w:t>
            </w:r>
            <w:proofErr w:type="spellEnd"/>
            <w:r w:rsidRPr="008E1B21">
              <w:rPr>
                <w:szCs w:val="24"/>
              </w:rPr>
              <w:t xml:space="preserve"> des </w:t>
            </w:r>
            <w:proofErr w:type="spellStart"/>
            <w:r w:rsidRPr="008E1B21">
              <w:rPr>
                <w:szCs w:val="24"/>
              </w:rPr>
              <w:t>Seminars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ist</w:t>
            </w:r>
            <w:proofErr w:type="spellEnd"/>
            <w:r w:rsidRPr="008E1B21">
              <w:rPr>
                <w:szCs w:val="24"/>
              </w:rPr>
              <w:t xml:space="preserve"> es, </w:t>
            </w:r>
            <w:proofErr w:type="spellStart"/>
            <w:r w:rsidRPr="008E1B21">
              <w:rPr>
                <w:szCs w:val="24"/>
              </w:rPr>
              <w:t>Einführung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in</w:t>
            </w:r>
            <w:proofErr w:type="spellEnd"/>
            <w:r w:rsidRPr="008E1B21">
              <w:rPr>
                <w:szCs w:val="24"/>
              </w:rPr>
              <w:t xml:space="preserve"> die </w:t>
            </w:r>
            <w:proofErr w:type="spellStart"/>
            <w:r w:rsidRPr="008E1B21">
              <w:rPr>
                <w:szCs w:val="24"/>
              </w:rPr>
              <w:t>Kulturwissenschaft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zu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bieten</w:t>
            </w:r>
            <w:proofErr w:type="spellEnd"/>
            <w:r w:rsidRPr="008E1B21">
              <w:rPr>
                <w:szCs w:val="24"/>
              </w:rPr>
              <w:t xml:space="preserve">, </w:t>
            </w:r>
            <w:proofErr w:type="spellStart"/>
            <w:r w:rsidRPr="008E1B21">
              <w:rPr>
                <w:szCs w:val="24"/>
              </w:rPr>
              <w:t>über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ihre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aktuelle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Tendenzen</w:t>
            </w:r>
            <w:proofErr w:type="spellEnd"/>
            <w:r w:rsidRPr="008E1B21">
              <w:rPr>
                <w:szCs w:val="24"/>
              </w:rPr>
              <w:t xml:space="preserve">, </w:t>
            </w:r>
            <w:proofErr w:type="spellStart"/>
            <w:r w:rsidRPr="008E1B21">
              <w:rPr>
                <w:szCs w:val="24"/>
              </w:rPr>
              <w:t>Disziplinen</w:t>
            </w:r>
            <w:proofErr w:type="spellEnd"/>
            <w:r w:rsidRPr="008E1B21">
              <w:rPr>
                <w:szCs w:val="24"/>
              </w:rPr>
              <w:t xml:space="preserve"> und </w:t>
            </w:r>
            <w:proofErr w:type="spellStart"/>
            <w:r w:rsidRPr="008E1B21">
              <w:rPr>
                <w:szCs w:val="24"/>
              </w:rPr>
              <w:t>Aspekte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zu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sprechen</w:t>
            </w:r>
            <w:proofErr w:type="spellEnd"/>
            <w:r w:rsidRPr="008E1B21">
              <w:rPr>
                <w:szCs w:val="24"/>
              </w:rPr>
              <w:t xml:space="preserve">. Die </w:t>
            </w:r>
            <w:proofErr w:type="spellStart"/>
            <w:r w:rsidRPr="008E1B21">
              <w:rPr>
                <w:szCs w:val="24"/>
              </w:rPr>
              <w:t>Arbeit</w:t>
            </w:r>
            <w:proofErr w:type="spellEnd"/>
            <w:r w:rsidRPr="008E1B21">
              <w:rPr>
                <w:szCs w:val="24"/>
              </w:rPr>
              <w:t xml:space="preserve"> mit </w:t>
            </w:r>
            <w:proofErr w:type="spellStart"/>
            <w:r w:rsidRPr="008E1B21">
              <w:rPr>
                <w:szCs w:val="24"/>
              </w:rPr>
              <w:t>kulturwissenschaftlichen</w:t>
            </w:r>
            <w:proofErr w:type="spellEnd"/>
            <w:r w:rsidRPr="008E1B21">
              <w:rPr>
                <w:szCs w:val="24"/>
              </w:rPr>
              <w:t xml:space="preserve"> Texten </w:t>
            </w:r>
            <w:proofErr w:type="spellStart"/>
            <w:r w:rsidRPr="008E1B21">
              <w:rPr>
                <w:szCs w:val="24"/>
              </w:rPr>
              <w:t>ist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als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Bestandteil</w:t>
            </w:r>
            <w:proofErr w:type="spellEnd"/>
            <w:r w:rsidRPr="008E1B21">
              <w:rPr>
                <w:szCs w:val="24"/>
              </w:rPr>
              <w:t xml:space="preserve"> des </w:t>
            </w:r>
            <w:proofErr w:type="spellStart"/>
            <w:r w:rsidRPr="008E1B21">
              <w:rPr>
                <w:szCs w:val="24"/>
              </w:rPr>
              <w:t>Spracherwerbs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zu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verstehen</w:t>
            </w:r>
            <w:proofErr w:type="spellEnd"/>
            <w:r w:rsidRPr="008E1B21">
              <w:rPr>
                <w:szCs w:val="24"/>
              </w:rPr>
              <w:t xml:space="preserve"> (</w:t>
            </w:r>
            <w:proofErr w:type="spellStart"/>
            <w:r w:rsidRPr="008E1B21">
              <w:rPr>
                <w:szCs w:val="24"/>
              </w:rPr>
              <w:t>Wortschatzerweiterung</w:t>
            </w:r>
            <w:proofErr w:type="spellEnd"/>
            <w:r w:rsidRPr="008E1B21">
              <w:rPr>
                <w:szCs w:val="24"/>
              </w:rPr>
              <w:t xml:space="preserve">, </w:t>
            </w:r>
            <w:proofErr w:type="spellStart"/>
            <w:r w:rsidRPr="008E1B21">
              <w:rPr>
                <w:szCs w:val="24"/>
              </w:rPr>
              <w:t>Förderung</w:t>
            </w:r>
            <w:proofErr w:type="spellEnd"/>
            <w:r w:rsidRPr="008E1B21">
              <w:rPr>
                <w:szCs w:val="24"/>
              </w:rPr>
              <w:t xml:space="preserve"> der </w:t>
            </w:r>
            <w:proofErr w:type="spellStart"/>
            <w:r w:rsidRPr="008E1B21">
              <w:rPr>
                <w:szCs w:val="24"/>
              </w:rPr>
              <w:t>Sprechfertigkeit</w:t>
            </w:r>
            <w:proofErr w:type="spellEnd"/>
            <w:r>
              <w:rPr>
                <w:szCs w:val="24"/>
              </w:rPr>
              <w:t xml:space="preserve"> und der </w:t>
            </w:r>
            <w:proofErr w:type="spellStart"/>
            <w:r>
              <w:rPr>
                <w:szCs w:val="24"/>
              </w:rPr>
              <w:t>interkulturellen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Kompetenzen</w:t>
            </w:r>
            <w:proofErr w:type="spellEnd"/>
            <w:r w:rsidRPr="008E1B21">
              <w:rPr>
                <w:szCs w:val="24"/>
              </w:rPr>
              <w:t xml:space="preserve">, </w:t>
            </w:r>
            <w:proofErr w:type="spellStart"/>
            <w:r w:rsidRPr="008E1B21">
              <w:rPr>
                <w:szCs w:val="24"/>
              </w:rPr>
              <w:t>systematisches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Trainieren</w:t>
            </w:r>
            <w:proofErr w:type="spellEnd"/>
            <w:r w:rsidRPr="008E1B21">
              <w:rPr>
                <w:szCs w:val="24"/>
              </w:rPr>
              <w:t xml:space="preserve"> des </w:t>
            </w:r>
            <w:proofErr w:type="spellStart"/>
            <w:r w:rsidRPr="008E1B21">
              <w:rPr>
                <w:szCs w:val="24"/>
              </w:rPr>
              <w:t>verstehenden</w:t>
            </w:r>
            <w:proofErr w:type="spellEnd"/>
            <w:r w:rsidRPr="008E1B21">
              <w:rPr>
                <w:szCs w:val="24"/>
              </w:rPr>
              <w:t xml:space="preserve"> </w:t>
            </w:r>
            <w:proofErr w:type="spellStart"/>
            <w:r w:rsidRPr="008E1B21">
              <w:rPr>
                <w:szCs w:val="24"/>
              </w:rPr>
              <w:t>Lesens</w:t>
            </w:r>
            <w:proofErr w:type="spellEnd"/>
            <w:r w:rsidRPr="008E1B21">
              <w:rPr>
                <w:szCs w:val="24"/>
              </w:rPr>
              <w:t xml:space="preserve">). </w:t>
            </w:r>
            <w:proofErr w:type="spellStart"/>
            <w:r>
              <w:rPr>
                <w:szCs w:val="24"/>
              </w:rPr>
              <w:t>Themen</w:t>
            </w:r>
            <w:proofErr w:type="spellEnd"/>
            <w:r>
              <w:rPr>
                <w:szCs w:val="24"/>
              </w:rPr>
              <w:t xml:space="preserve">, die </w:t>
            </w:r>
            <w:proofErr w:type="spellStart"/>
            <w:r>
              <w:rPr>
                <w:szCs w:val="24"/>
              </w:rPr>
              <w:t>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Seminar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vorkommen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sind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Aspekte</w:t>
            </w:r>
            <w:proofErr w:type="spellEnd"/>
            <w:r>
              <w:rPr>
                <w:szCs w:val="24"/>
              </w:rPr>
              <w:t xml:space="preserve"> des </w:t>
            </w:r>
            <w:proofErr w:type="spellStart"/>
            <w:r>
              <w:rPr>
                <w:szCs w:val="24"/>
              </w:rPr>
              <w:t>Genders</w:t>
            </w:r>
            <w:proofErr w:type="spellEnd"/>
            <w:r>
              <w:rPr>
                <w:szCs w:val="24"/>
              </w:rPr>
              <w:t xml:space="preserve"> und der </w:t>
            </w:r>
            <w:proofErr w:type="spellStart"/>
            <w:r>
              <w:rPr>
                <w:szCs w:val="24"/>
              </w:rPr>
              <w:t>Nation</w:t>
            </w:r>
            <w:proofErr w:type="spellEnd"/>
            <w:r>
              <w:rPr>
                <w:szCs w:val="24"/>
              </w:rPr>
              <w:t xml:space="preserve">, die </w:t>
            </w:r>
            <w:proofErr w:type="spellStart"/>
            <w:r>
              <w:rPr>
                <w:szCs w:val="24"/>
              </w:rPr>
              <w:t>Problematik</w:t>
            </w:r>
            <w:proofErr w:type="spellEnd"/>
            <w:r>
              <w:rPr>
                <w:szCs w:val="24"/>
              </w:rPr>
              <w:t xml:space="preserve"> der </w:t>
            </w:r>
            <w:proofErr w:type="spellStart"/>
            <w:r>
              <w:rPr>
                <w:szCs w:val="24"/>
              </w:rPr>
              <w:t>Multi-Kulti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oder</w:t>
            </w:r>
            <w:proofErr w:type="spellEnd"/>
            <w:r>
              <w:rPr>
                <w:szCs w:val="24"/>
              </w:rPr>
              <w:t xml:space="preserve"> die </w:t>
            </w:r>
            <w:proofErr w:type="spellStart"/>
            <w:r>
              <w:rPr>
                <w:szCs w:val="24"/>
              </w:rPr>
              <w:t>Vergangenheitsbewältigung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Neben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wissenschaftlichen</w:t>
            </w:r>
            <w:proofErr w:type="spellEnd"/>
            <w:r>
              <w:rPr>
                <w:szCs w:val="24"/>
              </w:rPr>
              <w:t xml:space="preserve"> Texten </w:t>
            </w:r>
            <w:proofErr w:type="spellStart"/>
            <w:r>
              <w:rPr>
                <w:szCs w:val="24"/>
              </w:rPr>
              <w:t>werden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noch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nationale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Feiertage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verschiedene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Kunstwerke</w:t>
            </w:r>
            <w:proofErr w:type="spellEnd"/>
            <w:r>
              <w:rPr>
                <w:szCs w:val="24"/>
              </w:rPr>
              <w:t xml:space="preserve"> und </w:t>
            </w:r>
            <w:proofErr w:type="spellStart"/>
            <w:r>
              <w:rPr>
                <w:szCs w:val="24"/>
              </w:rPr>
              <w:t>alltägliche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Erfahrungen</w:t>
            </w:r>
            <w:proofErr w:type="spellEnd"/>
            <w:r>
              <w:rPr>
                <w:szCs w:val="24"/>
              </w:rPr>
              <w:t xml:space="preserve"> der </w:t>
            </w:r>
            <w:proofErr w:type="spellStart"/>
            <w:r>
              <w:rPr>
                <w:szCs w:val="24"/>
              </w:rPr>
              <w:t>Studierenden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Seminar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behandelt</w:t>
            </w:r>
            <w:proofErr w:type="spellEnd"/>
            <w:r>
              <w:rPr>
                <w:szCs w:val="24"/>
              </w:rPr>
              <w:t xml:space="preserve"> und </w:t>
            </w:r>
            <w:proofErr w:type="spellStart"/>
            <w:r>
              <w:rPr>
                <w:szCs w:val="24"/>
              </w:rPr>
              <w:t>darüber</w:t>
            </w:r>
            <w:proofErr w:type="spellEnd"/>
            <w:r>
              <w:rPr>
                <w:szCs w:val="24"/>
              </w:rPr>
              <w:t xml:space="preserve"> rege </w:t>
            </w:r>
            <w:proofErr w:type="spellStart"/>
            <w:r>
              <w:rPr>
                <w:szCs w:val="24"/>
              </w:rPr>
              <w:t>Diskussion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geführt</w:t>
            </w:r>
            <w:proofErr w:type="spellEnd"/>
            <w:r>
              <w:rPr>
                <w:szCs w:val="24"/>
              </w:rPr>
              <w:t xml:space="preserve">. </w:t>
            </w:r>
          </w:p>
        </w:tc>
      </w:tr>
    </w:tbl>
    <w:p w:rsidR="00B86289" w:rsidRDefault="00B86289" w:rsidP="00B86289">
      <w:pPr>
        <w:jc w:val="both"/>
      </w:pPr>
    </w:p>
    <w:p w:rsidR="00B86289" w:rsidRPr="00D01335" w:rsidRDefault="00D01335" w:rsidP="00B86289">
      <w:pPr>
        <w:jc w:val="both"/>
        <w:rPr>
          <w:b/>
          <w:i/>
          <w:lang w:val="de-DE"/>
        </w:rPr>
      </w:pPr>
      <w:r w:rsidRPr="00D01335">
        <w:rPr>
          <w:b/>
          <w:i/>
          <w:lang w:val="de-DE"/>
        </w:rPr>
        <w:t>Pflichtliteratur</w:t>
      </w:r>
      <w:r w:rsidR="00B86289" w:rsidRPr="00D01335">
        <w:rPr>
          <w:b/>
          <w:i/>
          <w:lang w:val="de-DE"/>
        </w:rPr>
        <w:t>:</w:t>
      </w:r>
    </w:p>
    <w:p w:rsidR="00B86289" w:rsidRPr="00D01335" w:rsidRDefault="00B86289" w:rsidP="00B86289">
      <w:pPr>
        <w:jc w:val="both"/>
        <w:rPr>
          <w:b/>
          <w:i/>
          <w:lang w:val="de-DE"/>
        </w:rPr>
      </w:pPr>
      <w:bookmarkStart w:id="0" w:name="_GoBack"/>
      <w:bookmarkEnd w:id="0"/>
    </w:p>
    <w:p w:rsidR="00B86289" w:rsidRPr="00D01335" w:rsidRDefault="00B86289" w:rsidP="00B86289">
      <w:pPr>
        <w:rPr>
          <w:lang w:val="de-DE"/>
        </w:rPr>
      </w:pPr>
      <w:proofErr w:type="spellStart"/>
      <w:r w:rsidRPr="00D01335">
        <w:rPr>
          <w:lang w:val="de-DE"/>
        </w:rPr>
        <w:t>Balkányi</w:t>
      </w:r>
      <w:proofErr w:type="spellEnd"/>
      <w:r w:rsidRPr="00D01335">
        <w:rPr>
          <w:lang w:val="de-DE"/>
        </w:rPr>
        <w:t>, Magdolna (</w:t>
      </w:r>
      <w:proofErr w:type="spellStart"/>
      <w:r w:rsidRPr="00D01335">
        <w:rPr>
          <w:lang w:val="de-DE"/>
        </w:rPr>
        <w:t>Hg</w:t>
      </w:r>
      <w:proofErr w:type="spellEnd"/>
      <w:r w:rsidRPr="00D01335">
        <w:rPr>
          <w:lang w:val="de-DE"/>
        </w:rPr>
        <w:t xml:space="preserve">.): </w:t>
      </w:r>
      <w:r w:rsidRPr="00D01335">
        <w:rPr>
          <w:i/>
          <w:lang w:val="de-DE"/>
        </w:rPr>
        <w:t>Grundwissen</w:t>
      </w:r>
      <w:r w:rsidRPr="00D01335">
        <w:rPr>
          <w:lang w:val="de-DE"/>
        </w:rPr>
        <w:t xml:space="preserve"> </w:t>
      </w:r>
      <w:r w:rsidRPr="00D01335">
        <w:rPr>
          <w:i/>
          <w:lang w:val="de-DE"/>
        </w:rPr>
        <w:t>Kultur- und Medienwissenschaft I.-III.</w:t>
      </w:r>
      <w:r w:rsidRPr="00D01335">
        <w:rPr>
          <w:lang w:val="de-DE"/>
        </w:rPr>
        <w:t xml:space="preserve"> Budapest: </w:t>
      </w:r>
      <w:proofErr w:type="spellStart"/>
      <w:r w:rsidRPr="00D01335">
        <w:rPr>
          <w:lang w:val="de-DE"/>
        </w:rPr>
        <w:t>Bölcsész</w:t>
      </w:r>
      <w:proofErr w:type="spellEnd"/>
      <w:r w:rsidRPr="00D01335">
        <w:rPr>
          <w:lang w:val="de-DE"/>
        </w:rPr>
        <w:t xml:space="preserve"> </w:t>
      </w:r>
      <w:proofErr w:type="spellStart"/>
      <w:r w:rsidRPr="00D01335">
        <w:rPr>
          <w:lang w:val="de-DE"/>
        </w:rPr>
        <w:t>Konzorcium</w:t>
      </w:r>
      <w:proofErr w:type="spellEnd"/>
      <w:r w:rsidRPr="00D01335">
        <w:rPr>
          <w:lang w:val="de-DE"/>
        </w:rPr>
        <w:t xml:space="preserve"> HEFOP, 2006, Bd. 1-3:</w:t>
      </w:r>
    </w:p>
    <w:p w:rsidR="00B86289" w:rsidRPr="00D01335" w:rsidRDefault="00B86289" w:rsidP="00B86289">
      <w:pPr>
        <w:numPr>
          <w:ilvl w:val="0"/>
          <w:numId w:val="1"/>
        </w:numPr>
        <w:rPr>
          <w:lang w:val="de-DE"/>
        </w:rPr>
      </w:pPr>
      <w:r w:rsidRPr="00D01335">
        <w:rPr>
          <w:lang w:val="de-DE"/>
        </w:rPr>
        <w:t xml:space="preserve">Katschthaler, Karl: </w:t>
      </w:r>
      <w:r w:rsidRPr="00D01335">
        <w:rPr>
          <w:i/>
          <w:lang w:val="de-DE"/>
        </w:rPr>
        <w:t>Natur-Kunst-Mensch. Einführung in kulturgeschichtliches Denken</w:t>
      </w:r>
    </w:p>
    <w:p w:rsidR="00B86289" w:rsidRPr="00D01335" w:rsidRDefault="00B86289" w:rsidP="00B86289">
      <w:pPr>
        <w:numPr>
          <w:ilvl w:val="0"/>
          <w:numId w:val="1"/>
        </w:numPr>
        <w:rPr>
          <w:lang w:val="de-DE"/>
        </w:rPr>
      </w:pPr>
      <w:r w:rsidRPr="00D01335">
        <w:rPr>
          <w:lang w:val="de-DE"/>
        </w:rPr>
        <w:t xml:space="preserve">Horváth, Andrea &amp; </w:t>
      </w:r>
      <w:proofErr w:type="spellStart"/>
      <w:r w:rsidRPr="00D01335">
        <w:rPr>
          <w:lang w:val="de-DE"/>
        </w:rPr>
        <w:t>Pabis</w:t>
      </w:r>
      <w:proofErr w:type="spellEnd"/>
      <w:r w:rsidRPr="00D01335">
        <w:rPr>
          <w:lang w:val="de-DE"/>
        </w:rPr>
        <w:t>, Eszter (</w:t>
      </w:r>
      <w:proofErr w:type="spellStart"/>
      <w:r w:rsidRPr="00D01335">
        <w:rPr>
          <w:lang w:val="de-DE"/>
        </w:rPr>
        <w:t>Hg</w:t>
      </w:r>
      <w:proofErr w:type="spellEnd"/>
      <w:r w:rsidRPr="00D01335">
        <w:rPr>
          <w:lang w:val="de-DE"/>
        </w:rPr>
        <w:t xml:space="preserve">.): </w:t>
      </w:r>
      <w:r w:rsidRPr="00D01335">
        <w:rPr>
          <w:i/>
          <w:lang w:val="de-DE"/>
        </w:rPr>
        <w:t>Gedächtnis-Identität-Interkulturalität. Ein kulturwissenschaftliches Studienbuch</w:t>
      </w:r>
    </w:p>
    <w:p w:rsidR="00B86289" w:rsidRPr="00D01335" w:rsidRDefault="00B86289" w:rsidP="00B86289">
      <w:pPr>
        <w:numPr>
          <w:ilvl w:val="0"/>
          <w:numId w:val="1"/>
        </w:numPr>
        <w:rPr>
          <w:lang w:val="de-DE"/>
        </w:rPr>
      </w:pPr>
      <w:proofErr w:type="spellStart"/>
      <w:r w:rsidRPr="00D01335">
        <w:rPr>
          <w:lang w:val="de-DE"/>
        </w:rPr>
        <w:t>Molnár</w:t>
      </w:r>
      <w:proofErr w:type="spellEnd"/>
      <w:r w:rsidRPr="00D01335">
        <w:rPr>
          <w:lang w:val="de-DE"/>
        </w:rPr>
        <w:t xml:space="preserve">, </w:t>
      </w:r>
      <w:proofErr w:type="spellStart"/>
      <w:r w:rsidRPr="00D01335">
        <w:rPr>
          <w:lang w:val="de-DE"/>
        </w:rPr>
        <w:t>Klára</w:t>
      </w:r>
      <w:proofErr w:type="spellEnd"/>
      <w:r w:rsidRPr="00D01335">
        <w:rPr>
          <w:lang w:val="de-DE"/>
        </w:rPr>
        <w:t xml:space="preserve"> (</w:t>
      </w:r>
      <w:proofErr w:type="spellStart"/>
      <w:r w:rsidRPr="00D01335">
        <w:rPr>
          <w:lang w:val="de-DE"/>
        </w:rPr>
        <w:t>Hg</w:t>
      </w:r>
      <w:proofErr w:type="spellEnd"/>
      <w:r w:rsidRPr="00D01335">
        <w:rPr>
          <w:lang w:val="de-DE"/>
        </w:rPr>
        <w:t xml:space="preserve">.): </w:t>
      </w:r>
      <w:r w:rsidRPr="00D01335">
        <w:rPr>
          <w:i/>
          <w:lang w:val="de-DE"/>
        </w:rPr>
        <w:t xml:space="preserve">Medien und </w:t>
      </w:r>
      <w:proofErr w:type="spellStart"/>
      <w:r w:rsidRPr="00D01335">
        <w:rPr>
          <w:i/>
          <w:lang w:val="de-DE"/>
        </w:rPr>
        <w:t>Medialität</w:t>
      </w:r>
      <w:proofErr w:type="spellEnd"/>
      <w:r w:rsidRPr="00D01335">
        <w:rPr>
          <w:i/>
          <w:lang w:val="de-DE"/>
        </w:rPr>
        <w:t>. Lehr- und Übungsmaterial mit Texten</w:t>
      </w:r>
    </w:p>
    <w:p w:rsidR="00B86289" w:rsidRPr="00D01335" w:rsidRDefault="00B86289" w:rsidP="00B86289">
      <w:pPr>
        <w:jc w:val="both"/>
        <w:rPr>
          <w:lang w:val="de-DE"/>
        </w:rPr>
      </w:pPr>
    </w:p>
    <w:p w:rsidR="00B86289" w:rsidRPr="00D01335" w:rsidRDefault="00D01335" w:rsidP="00B86289">
      <w:pPr>
        <w:jc w:val="both"/>
        <w:rPr>
          <w:b/>
          <w:i/>
          <w:lang w:val="de-DE"/>
        </w:rPr>
      </w:pPr>
      <w:r w:rsidRPr="00D01335">
        <w:rPr>
          <w:b/>
          <w:i/>
          <w:lang w:val="de-DE"/>
        </w:rPr>
        <w:t>empfohlene Literatur</w:t>
      </w:r>
      <w:r w:rsidR="00B86289" w:rsidRPr="00D01335">
        <w:rPr>
          <w:b/>
          <w:i/>
          <w:lang w:val="de-DE"/>
        </w:rPr>
        <w:t>:</w:t>
      </w:r>
    </w:p>
    <w:p w:rsidR="00B86289" w:rsidRPr="00D01335" w:rsidRDefault="00B86289" w:rsidP="00B86289">
      <w:pPr>
        <w:jc w:val="both"/>
        <w:rPr>
          <w:b/>
          <w:i/>
          <w:lang w:val="de-DE"/>
        </w:rPr>
      </w:pPr>
    </w:p>
    <w:p w:rsidR="00B86289" w:rsidRPr="00D01335" w:rsidRDefault="00B86289" w:rsidP="00B86289">
      <w:pPr>
        <w:rPr>
          <w:lang w:val="de-DE"/>
        </w:rPr>
      </w:pPr>
      <w:r w:rsidRPr="00D01335">
        <w:rPr>
          <w:lang w:val="de-DE"/>
        </w:rPr>
        <w:t xml:space="preserve">Assmann, Aleida: </w:t>
      </w:r>
      <w:r w:rsidRPr="00D01335">
        <w:rPr>
          <w:i/>
          <w:lang w:val="de-DE"/>
        </w:rPr>
        <w:t>Einführung in die Kulturwissenschaft: Grundbegriffe, Themen, Fragestellungen</w:t>
      </w:r>
      <w:r w:rsidRPr="00D01335">
        <w:rPr>
          <w:lang w:val="de-DE"/>
        </w:rPr>
        <w:t>. Berlin: Erich Schmidt, 2017 (2006).</w:t>
      </w:r>
    </w:p>
    <w:p w:rsidR="00B86289" w:rsidRPr="00D01335" w:rsidRDefault="00B86289" w:rsidP="00B86289">
      <w:pPr>
        <w:jc w:val="both"/>
        <w:rPr>
          <w:lang w:val="de-DE"/>
        </w:rPr>
      </w:pPr>
      <w:proofErr w:type="spellStart"/>
      <w:r w:rsidRPr="00D01335">
        <w:rPr>
          <w:lang w:val="de-DE"/>
        </w:rPr>
        <w:t>Nünning</w:t>
      </w:r>
      <w:proofErr w:type="spellEnd"/>
      <w:r w:rsidRPr="00D01335">
        <w:rPr>
          <w:lang w:val="de-DE"/>
        </w:rPr>
        <w:t xml:space="preserve">, Ansgar &amp; </w:t>
      </w:r>
      <w:proofErr w:type="spellStart"/>
      <w:r w:rsidRPr="00D01335">
        <w:rPr>
          <w:lang w:val="de-DE"/>
        </w:rPr>
        <w:t>Nünning</w:t>
      </w:r>
      <w:proofErr w:type="spellEnd"/>
      <w:r w:rsidRPr="00D01335">
        <w:rPr>
          <w:lang w:val="de-DE"/>
        </w:rPr>
        <w:t xml:space="preserve">, Vera: </w:t>
      </w:r>
      <w:r w:rsidRPr="00D01335">
        <w:rPr>
          <w:i/>
          <w:lang w:val="de-DE"/>
        </w:rPr>
        <w:t>Konzepte der Kulturwissenschaften</w:t>
      </w:r>
      <w:r w:rsidRPr="00D01335">
        <w:rPr>
          <w:lang w:val="de-DE"/>
        </w:rPr>
        <w:t>. Stuttgart: Metzler, 2003</w:t>
      </w:r>
    </w:p>
    <w:p w:rsidR="00B86289" w:rsidRDefault="00B86289" w:rsidP="00B86289">
      <w:pPr>
        <w:jc w:val="both"/>
      </w:pPr>
    </w:p>
    <w:p w:rsidR="00682701" w:rsidRDefault="00682701"/>
    <w:p w:rsidR="00D01335" w:rsidRDefault="00D01335"/>
    <w:p w:rsidR="00D01335" w:rsidRDefault="00D01335"/>
    <w:p w:rsidR="00B86289" w:rsidRDefault="00B86289"/>
    <w:p w:rsidR="00B86289" w:rsidRDefault="00B86289"/>
    <w:p w:rsidR="00B86289" w:rsidRDefault="00B86289"/>
    <w:tbl>
      <w:tblPr>
        <w:tblStyle w:val="Rcsostblzat"/>
        <w:tblW w:w="6142" w:type="dxa"/>
        <w:tblLook w:val="04A0"/>
      </w:tblPr>
      <w:tblGrid>
        <w:gridCol w:w="3071"/>
        <w:gridCol w:w="3071"/>
      </w:tblGrid>
      <w:tr w:rsidR="004D2159" w:rsidRPr="005C1CC9" w:rsidTr="004D2159">
        <w:trPr>
          <w:trHeight w:val="416"/>
        </w:trPr>
        <w:tc>
          <w:tcPr>
            <w:tcW w:w="3071" w:type="dxa"/>
          </w:tcPr>
          <w:p w:rsidR="004D2159" w:rsidRDefault="004D2159" w:rsidP="009E5BC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Einführung</w:t>
            </w:r>
          </w:p>
          <w:p w:rsidR="004D2159" w:rsidRPr="005C1CC9" w:rsidRDefault="004D2159" w:rsidP="009E5BCA">
            <w:pPr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4D2159" w:rsidRPr="005C1CC9" w:rsidRDefault="004D2159" w:rsidP="009E5BCA">
            <w:pPr>
              <w:rPr>
                <w:lang w:val="de-DE"/>
              </w:rPr>
            </w:pPr>
          </w:p>
        </w:tc>
      </w:tr>
      <w:tr w:rsidR="004D2159" w:rsidRPr="005C1CC9" w:rsidTr="004D2159">
        <w:tc>
          <w:tcPr>
            <w:tcW w:w="3071" w:type="dxa"/>
          </w:tcPr>
          <w:p w:rsidR="004D2159" w:rsidRDefault="004D2159" w:rsidP="009E5BCA">
            <w:pPr>
              <w:jc w:val="center"/>
              <w:rPr>
                <w:b/>
                <w:lang w:val="de-DE"/>
              </w:rPr>
            </w:pPr>
          </w:p>
          <w:p w:rsidR="004D2159" w:rsidRPr="001D6BC3" w:rsidRDefault="004D2159" w:rsidP="009E5BCA">
            <w:pPr>
              <w:jc w:val="center"/>
              <w:rPr>
                <w:b/>
                <w:lang w:val="de-DE"/>
              </w:rPr>
            </w:pPr>
            <w:r w:rsidRPr="001D6BC3">
              <w:rPr>
                <w:b/>
                <w:lang w:val="de-DE"/>
              </w:rPr>
              <w:t>Thema: Sigmund Freud</w:t>
            </w:r>
          </w:p>
          <w:p w:rsidR="004D2159" w:rsidRPr="0047734D" w:rsidRDefault="004D2159" w:rsidP="009E5BCA">
            <w:pPr>
              <w:jc w:val="center"/>
              <w:rPr>
                <w:b/>
                <w:u w:val="single"/>
                <w:shd w:val="pct15" w:color="auto" w:fill="FFFFFF"/>
                <w:lang w:val="de-DE"/>
              </w:rPr>
            </w:pPr>
            <w:r w:rsidRPr="0047734D">
              <w:rPr>
                <w:b/>
                <w:u w:val="single"/>
                <w:shd w:val="pct15" w:color="auto" w:fill="FFFFFF"/>
                <w:lang w:val="de-DE"/>
              </w:rPr>
              <w:t>Teil 1.</w:t>
            </w:r>
          </w:p>
          <w:p w:rsidR="004D2159" w:rsidRPr="005C1CC9" w:rsidRDefault="004D2159" w:rsidP="009E5BC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Zur Kulturgeschichte der </w:t>
            </w:r>
            <w:r>
              <w:rPr>
                <w:lang w:val="de-DE"/>
              </w:rPr>
              <w:lastRenderedPageBreak/>
              <w:t>Natur: Die freudianische Revolution (S.73-83)</w:t>
            </w:r>
          </w:p>
        </w:tc>
        <w:tc>
          <w:tcPr>
            <w:tcW w:w="3071" w:type="dxa"/>
          </w:tcPr>
          <w:p w:rsidR="004D2159" w:rsidRPr="005C1CC9" w:rsidRDefault="004D2159" w:rsidP="009E5BCA">
            <w:pPr>
              <w:rPr>
                <w:lang w:val="de-DE"/>
              </w:rPr>
            </w:pPr>
            <w:r w:rsidRPr="003944BF">
              <w:rPr>
                <w:i/>
                <w:lang w:val="de-DE"/>
              </w:rPr>
              <w:lastRenderedPageBreak/>
              <w:t>Katschthaler, Karl</w:t>
            </w:r>
            <w:r>
              <w:rPr>
                <w:lang w:val="de-DE"/>
              </w:rPr>
              <w:t xml:space="preserve">: </w:t>
            </w:r>
            <w:r w:rsidRPr="003944BF">
              <w:rPr>
                <w:b/>
                <w:lang w:val="de-DE"/>
              </w:rPr>
              <w:t>Natur-Kunst-Mensch. Einführung in kulturgeschichtliches Denken</w:t>
            </w:r>
            <w:r>
              <w:rPr>
                <w:lang w:val="de-DE"/>
              </w:rPr>
              <w:t xml:space="preserve">. </w:t>
            </w:r>
            <w:r w:rsidRPr="00610CD8">
              <w:rPr>
                <w:u w:val="single"/>
                <w:lang w:val="de-DE"/>
              </w:rPr>
              <w:t xml:space="preserve">Grundwissen </w:t>
            </w:r>
            <w:r w:rsidRPr="00610CD8">
              <w:rPr>
                <w:u w:val="single"/>
                <w:lang w:val="de-DE"/>
              </w:rPr>
              <w:lastRenderedPageBreak/>
              <w:t>Kultur- und Medienwissenschaft 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1.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D2159" w:rsidRPr="005C1CC9" w:rsidTr="004D2159">
        <w:tc>
          <w:tcPr>
            <w:tcW w:w="3070" w:type="dxa"/>
          </w:tcPr>
          <w:p w:rsidR="004D2159" w:rsidRDefault="004D2159" w:rsidP="009E5BCA">
            <w:pPr>
              <w:jc w:val="center"/>
              <w:rPr>
                <w:b/>
                <w:lang w:val="de-DE"/>
              </w:rPr>
            </w:pPr>
          </w:p>
          <w:p w:rsidR="004D2159" w:rsidRDefault="004D2159" w:rsidP="00B86289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</w:t>
            </w:r>
            <w:r>
              <w:rPr>
                <w:b/>
                <w:lang w:val="de-DE"/>
              </w:rPr>
              <w:t xml:space="preserve"> Sigmund Freud</w:t>
            </w:r>
          </w:p>
          <w:p w:rsidR="004D2159" w:rsidRPr="00B86289" w:rsidRDefault="004D2159" w:rsidP="00B86289">
            <w:pPr>
              <w:jc w:val="center"/>
              <w:rPr>
                <w:b/>
                <w:u w:val="single"/>
                <w:lang w:val="de-DE"/>
              </w:rPr>
            </w:pPr>
            <w:r w:rsidRPr="00B86289">
              <w:rPr>
                <w:b/>
                <w:highlight w:val="lightGray"/>
                <w:u w:val="single"/>
                <w:lang w:val="de-DE"/>
              </w:rPr>
              <w:t>Teil 2.</w:t>
            </w:r>
            <w:r w:rsidRPr="00B86289">
              <w:rPr>
                <w:b/>
                <w:u w:val="single"/>
                <w:lang w:val="de-DE"/>
              </w:rPr>
              <w:t xml:space="preserve"> </w:t>
            </w:r>
          </w:p>
          <w:p w:rsidR="004D2159" w:rsidRPr="00ED68E8" w:rsidRDefault="004D2159" w:rsidP="00B86289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Filmnézés</w:t>
            </w:r>
            <w:proofErr w:type="spellEnd"/>
            <w:r>
              <w:rPr>
                <w:b/>
                <w:lang w:val="de-DE"/>
              </w:rPr>
              <w:t xml:space="preserve">: </w:t>
            </w:r>
            <w:proofErr w:type="spellStart"/>
            <w:r>
              <w:rPr>
                <w:b/>
                <w:lang w:val="de-DE"/>
              </w:rPr>
              <w:t>Eredet</w:t>
            </w:r>
            <w:proofErr w:type="spellEnd"/>
          </w:p>
          <w:p w:rsidR="004D2159" w:rsidRPr="005C1CC9" w:rsidRDefault="004D2159" w:rsidP="00B86289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4D2159" w:rsidRPr="005C1CC9" w:rsidRDefault="004D2159" w:rsidP="009E5BCA">
            <w:pPr>
              <w:rPr>
                <w:lang w:val="de-DE"/>
              </w:rPr>
            </w:pPr>
          </w:p>
        </w:tc>
      </w:tr>
      <w:tr w:rsidR="004D2159" w:rsidRPr="005C1CC9" w:rsidTr="004D2159">
        <w:tc>
          <w:tcPr>
            <w:tcW w:w="3070" w:type="dxa"/>
          </w:tcPr>
          <w:p w:rsidR="004D2159" w:rsidRDefault="004D2159" w:rsidP="009E5BCA">
            <w:pPr>
              <w:jc w:val="both"/>
              <w:rPr>
                <w:lang w:val="de-DE"/>
              </w:rPr>
            </w:pPr>
          </w:p>
          <w:p w:rsidR="004D2159" w:rsidRPr="001D6BC3" w:rsidRDefault="004D2159" w:rsidP="00B86289">
            <w:pPr>
              <w:jc w:val="center"/>
              <w:rPr>
                <w:b/>
                <w:lang w:val="de-DE"/>
              </w:rPr>
            </w:pPr>
            <w:r w:rsidRPr="001D6BC3">
              <w:rPr>
                <w:b/>
                <w:lang w:val="de-DE"/>
              </w:rPr>
              <w:t>Thema: Sigmund Freud</w:t>
            </w:r>
          </w:p>
          <w:p w:rsidR="004D2159" w:rsidRPr="0047734D" w:rsidRDefault="004D2159" w:rsidP="00B86289">
            <w:pPr>
              <w:jc w:val="center"/>
              <w:rPr>
                <w:b/>
                <w:u w:val="single"/>
                <w:shd w:val="pct15" w:color="auto" w:fill="FFFFFF"/>
                <w:lang w:val="de-DE"/>
              </w:rPr>
            </w:pPr>
            <w:r w:rsidRPr="0047734D">
              <w:rPr>
                <w:b/>
                <w:u w:val="single"/>
                <w:shd w:val="pct15" w:color="auto" w:fill="FFFFFF"/>
                <w:lang w:val="de-DE"/>
              </w:rPr>
              <w:t xml:space="preserve">Teil </w:t>
            </w:r>
            <w:r>
              <w:rPr>
                <w:b/>
                <w:u w:val="single"/>
                <w:shd w:val="pct15" w:color="auto" w:fill="FFFFFF"/>
                <w:lang w:val="de-DE"/>
              </w:rPr>
              <w:t>3</w:t>
            </w:r>
            <w:r w:rsidRPr="0047734D">
              <w:rPr>
                <w:b/>
                <w:u w:val="single"/>
                <w:shd w:val="pct15" w:color="auto" w:fill="FFFFFF"/>
                <w:lang w:val="de-DE"/>
              </w:rPr>
              <w:t>.</w:t>
            </w:r>
          </w:p>
          <w:p w:rsidR="004D2159" w:rsidRDefault="004D2159" w:rsidP="00B86289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Zur Kulturgeschichte der Natur: Die freudianische Revolution (S.73-83)</w:t>
            </w:r>
          </w:p>
          <w:p w:rsidR="004D2159" w:rsidRPr="005C1CC9" w:rsidRDefault="004D2159" w:rsidP="009E5BCA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D2159" w:rsidRPr="005C1CC9" w:rsidRDefault="004D2159" w:rsidP="009E5BCA">
            <w:pPr>
              <w:rPr>
                <w:lang w:val="de-DE"/>
              </w:rPr>
            </w:pPr>
            <w:r w:rsidRPr="003944BF">
              <w:rPr>
                <w:i/>
                <w:lang w:val="de-DE"/>
              </w:rPr>
              <w:t>Katschthaler, Karl</w:t>
            </w:r>
            <w:r>
              <w:rPr>
                <w:lang w:val="de-DE"/>
              </w:rPr>
              <w:t xml:space="preserve">: </w:t>
            </w:r>
            <w:r w:rsidRPr="003944BF">
              <w:rPr>
                <w:b/>
                <w:lang w:val="de-DE"/>
              </w:rPr>
              <w:t>Natur-Kunst-Mensch. Einführung in kulturgeschichtliches Denken</w:t>
            </w:r>
            <w:r>
              <w:rPr>
                <w:lang w:val="de-DE"/>
              </w:rPr>
              <w:t xml:space="preserve">. </w:t>
            </w:r>
            <w:r w:rsidRPr="00610CD8">
              <w:rPr>
                <w:u w:val="single"/>
                <w:lang w:val="de-DE"/>
              </w:rPr>
              <w:t>Grundwissen Kultur- und Medienwissenschaft 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1.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D2159" w:rsidRPr="00610CD8" w:rsidTr="004D2159">
        <w:tc>
          <w:tcPr>
            <w:tcW w:w="3070" w:type="dxa"/>
          </w:tcPr>
          <w:p w:rsidR="004D2159" w:rsidRDefault="004D2159" w:rsidP="009E5BCA">
            <w:pPr>
              <w:jc w:val="center"/>
              <w:rPr>
                <w:b/>
                <w:lang w:val="de-DE"/>
              </w:rPr>
            </w:pPr>
          </w:p>
          <w:p w:rsidR="004D2159" w:rsidRDefault="004D2159" w:rsidP="009E5BCA">
            <w:pPr>
              <w:jc w:val="center"/>
              <w:rPr>
                <w:b/>
                <w:lang w:val="de-DE"/>
              </w:rPr>
            </w:pPr>
          </w:p>
          <w:p w:rsidR="004D2159" w:rsidRPr="00ED68E8" w:rsidRDefault="004D2159" w:rsidP="009E5BCA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 Intermedialität</w:t>
            </w:r>
            <w:r>
              <w:rPr>
                <w:b/>
                <w:lang w:val="de-DE"/>
              </w:rPr>
              <w:t xml:space="preserve"> #1</w:t>
            </w:r>
          </w:p>
          <w:p w:rsidR="004D2159" w:rsidRDefault="004D2159" w:rsidP="00B8628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Irina O. </w:t>
            </w:r>
            <w:proofErr w:type="spellStart"/>
            <w:r>
              <w:rPr>
                <w:lang w:val="de-DE"/>
              </w:rPr>
              <w:t>Rajewsky</w:t>
            </w:r>
            <w:proofErr w:type="spellEnd"/>
            <w:r>
              <w:rPr>
                <w:lang w:val="de-DE"/>
              </w:rPr>
              <w:t>: Was heißt Intermedialität? (S.110-114)</w:t>
            </w:r>
          </w:p>
          <w:p w:rsidR="004D2159" w:rsidRDefault="004D2159" w:rsidP="00B8628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Balz Engler: Buch, Bühne, Bildschirm (S.115-124)</w:t>
            </w:r>
          </w:p>
          <w:p w:rsidR="004D2159" w:rsidRDefault="004D2159" w:rsidP="009E5BCA">
            <w:pPr>
              <w:jc w:val="both"/>
              <w:rPr>
                <w:lang w:val="de-DE"/>
              </w:rPr>
            </w:pPr>
          </w:p>
          <w:p w:rsidR="004D2159" w:rsidRPr="005C1CC9" w:rsidRDefault="004D2159" w:rsidP="009E5BCA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D2159" w:rsidRDefault="004D2159" w:rsidP="009E5BCA">
            <w:pPr>
              <w:rPr>
                <w:i/>
                <w:lang w:val="de-DE"/>
              </w:rPr>
            </w:pPr>
          </w:p>
          <w:p w:rsidR="004D2159" w:rsidRDefault="004D2159" w:rsidP="009E5BCA">
            <w:pPr>
              <w:rPr>
                <w:i/>
                <w:lang w:val="de-DE"/>
              </w:rPr>
            </w:pPr>
          </w:p>
          <w:p w:rsidR="004D2159" w:rsidRDefault="004D2159" w:rsidP="009E5BCA">
            <w:pPr>
              <w:rPr>
                <w:i/>
                <w:lang w:val="de-DE"/>
              </w:rPr>
            </w:pPr>
            <w:proofErr w:type="spellStart"/>
            <w:r w:rsidRPr="00610CD8">
              <w:rPr>
                <w:i/>
                <w:lang w:val="de-DE"/>
              </w:rPr>
              <w:t>Molnár</w:t>
            </w:r>
            <w:proofErr w:type="spellEnd"/>
            <w:r w:rsidRPr="00610CD8">
              <w:rPr>
                <w:i/>
                <w:lang w:val="de-DE"/>
              </w:rPr>
              <w:t xml:space="preserve">, </w:t>
            </w:r>
            <w:proofErr w:type="spellStart"/>
            <w:r w:rsidRPr="00610CD8">
              <w:rPr>
                <w:i/>
                <w:lang w:val="de-DE"/>
              </w:rPr>
              <w:t>Klára</w:t>
            </w:r>
            <w:proofErr w:type="spellEnd"/>
            <w:r w:rsidRPr="00610CD8">
              <w:rPr>
                <w:i/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Hg</w:t>
            </w:r>
            <w:proofErr w:type="spellEnd"/>
            <w:r>
              <w:rPr>
                <w:lang w:val="de-DE"/>
              </w:rPr>
              <w:t xml:space="preserve">.): </w:t>
            </w:r>
            <w:r w:rsidRPr="00610CD8">
              <w:rPr>
                <w:b/>
                <w:lang w:val="de-DE"/>
              </w:rPr>
              <w:t xml:space="preserve">Medien und </w:t>
            </w:r>
            <w:proofErr w:type="spellStart"/>
            <w:r w:rsidRPr="00610CD8">
              <w:rPr>
                <w:b/>
                <w:lang w:val="de-DE"/>
              </w:rPr>
              <w:t>Medialität</w:t>
            </w:r>
            <w:proofErr w:type="spellEnd"/>
            <w:r w:rsidRPr="00610CD8">
              <w:rPr>
                <w:b/>
                <w:lang w:val="de-DE"/>
              </w:rPr>
              <w:t>. Lehr- und Übungsmaterial mit Texten.</w:t>
            </w:r>
            <w:r>
              <w:rPr>
                <w:lang w:val="de-DE"/>
              </w:rPr>
              <w:t xml:space="preserve"> </w:t>
            </w:r>
            <w:r w:rsidRPr="00610CD8">
              <w:rPr>
                <w:u w:val="single"/>
                <w:lang w:val="de-DE"/>
              </w:rPr>
              <w:t>Grundwissen Kultur- und Medienwissenschaft III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3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  <w:p w:rsidR="004D2159" w:rsidRPr="00610CD8" w:rsidRDefault="004D2159" w:rsidP="009E5BCA">
            <w:pPr>
              <w:rPr>
                <w:lang w:val="de-DE"/>
              </w:rPr>
            </w:pPr>
          </w:p>
        </w:tc>
      </w:tr>
      <w:tr w:rsidR="004D2159" w:rsidRPr="00610CD8" w:rsidTr="004D2159">
        <w:tc>
          <w:tcPr>
            <w:tcW w:w="3070" w:type="dxa"/>
          </w:tcPr>
          <w:p w:rsidR="004D2159" w:rsidRDefault="004D2159" w:rsidP="00D0133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gemeinsamer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Teilnahme</w:t>
            </w:r>
            <w:proofErr w:type="spellEnd"/>
            <w:r>
              <w:rPr>
                <w:szCs w:val="24"/>
              </w:rPr>
              <w:t xml:space="preserve"> an der </w:t>
            </w:r>
            <w:proofErr w:type="spellStart"/>
            <w:r>
              <w:rPr>
                <w:szCs w:val="24"/>
              </w:rPr>
              <w:t>Vorlesung</w:t>
            </w:r>
            <w:proofErr w:type="spellEnd"/>
            <w:r>
              <w:rPr>
                <w:szCs w:val="24"/>
              </w:rPr>
              <w:t xml:space="preserve"> „</w:t>
            </w:r>
            <w:proofErr w:type="spellStart"/>
            <w:r w:rsidRPr="004519AB">
              <w:rPr>
                <w:b/>
                <w:i/>
                <w:szCs w:val="24"/>
              </w:rPr>
              <w:t>Künstliche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Intelligenz</w:t>
            </w:r>
            <w:proofErr w:type="spellEnd"/>
            <w:r>
              <w:rPr>
                <w:b/>
                <w:i/>
                <w:szCs w:val="24"/>
              </w:rPr>
              <w:t xml:space="preserve"> - </w:t>
            </w:r>
            <w:proofErr w:type="spellStart"/>
            <w:r w:rsidRPr="004519AB">
              <w:rPr>
                <w:b/>
                <w:i/>
                <w:szCs w:val="24"/>
              </w:rPr>
              <w:t>Gesellschaftliche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Herausforderungen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im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Zeitalter</w:t>
            </w:r>
            <w:proofErr w:type="spellEnd"/>
            <w:r w:rsidRPr="004519AB">
              <w:rPr>
                <w:b/>
                <w:i/>
                <w:szCs w:val="24"/>
              </w:rPr>
              <w:t xml:space="preserve"> der </w:t>
            </w:r>
            <w:proofErr w:type="spellStart"/>
            <w:r w:rsidRPr="004519AB">
              <w:rPr>
                <w:b/>
                <w:i/>
                <w:szCs w:val="24"/>
              </w:rPr>
              <w:t>Digitalisierung</w:t>
            </w:r>
            <w:proofErr w:type="spellEnd"/>
            <w:r>
              <w:rPr>
                <w:szCs w:val="24"/>
              </w:rPr>
              <w:t>”</w:t>
            </w:r>
          </w:p>
          <w:p w:rsidR="004D2159" w:rsidRDefault="004D2159" w:rsidP="00D0133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Datum</w:t>
            </w:r>
            <w:proofErr w:type="spellEnd"/>
            <w:r>
              <w:rPr>
                <w:szCs w:val="24"/>
              </w:rPr>
              <w:t xml:space="preserve">: 13. </w:t>
            </w:r>
            <w:proofErr w:type="spellStart"/>
            <w:r>
              <w:rPr>
                <w:szCs w:val="24"/>
              </w:rPr>
              <w:t>Oktober</w:t>
            </w:r>
            <w:proofErr w:type="spellEnd"/>
            <w:r>
              <w:rPr>
                <w:szCs w:val="24"/>
              </w:rPr>
              <w:t xml:space="preserve"> 2021 / 10:00-12:00 </w:t>
            </w:r>
            <w:proofErr w:type="spellStart"/>
            <w:r>
              <w:rPr>
                <w:szCs w:val="24"/>
              </w:rPr>
              <w:t>Uhr</w:t>
            </w:r>
            <w:proofErr w:type="spellEnd"/>
          </w:p>
          <w:p w:rsidR="004D2159" w:rsidRPr="00610CD8" w:rsidRDefault="004D2159" w:rsidP="00D01335">
            <w:pPr>
              <w:rPr>
                <w:lang w:val="de-DE"/>
              </w:rPr>
            </w:pPr>
            <w:proofErr w:type="spellStart"/>
            <w:r>
              <w:rPr>
                <w:szCs w:val="24"/>
              </w:rPr>
              <w:t>Ort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Universität</w:t>
            </w:r>
            <w:proofErr w:type="spellEnd"/>
            <w:r>
              <w:rPr>
                <w:szCs w:val="24"/>
              </w:rPr>
              <w:t xml:space="preserve"> Debrecen, </w:t>
            </w:r>
            <w:proofErr w:type="spellStart"/>
            <w:r>
              <w:rPr>
                <w:szCs w:val="24"/>
              </w:rPr>
              <w:t>Hauptgebäude</w:t>
            </w:r>
            <w:proofErr w:type="spellEnd"/>
            <w:r>
              <w:rPr>
                <w:szCs w:val="24"/>
              </w:rPr>
              <w:t>, Aula</w:t>
            </w:r>
          </w:p>
        </w:tc>
        <w:tc>
          <w:tcPr>
            <w:tcW w:w="3071" w:type="dxa"/>
          </w:tcPr>
          <w:p w:rsidR="004D2159" w:rsidRDefault="004D2159" w:rsidP="009E5BCA">
            <w:pPr>
              <w:rPr>
                <w:i/>
                <w:lang w:val="de-DE"/>
              </w:rPr>
            </w:pPr>
          </w:p>
          <w:p w:rsidR="004D2159" w:rsidRPr="00610CD8" w:rsidRDefault="004D2159" w:rsidP="009E5BCA">
            <w:pPr>
              <w:rPr>
                <w:lang w:val="de-DE"/>
              </w:rPr>
            </w:pPr>
          </w:p>
        </w:tc>
      </w:tr>
      <w:tr w:rsidR="004D2159" w:rsidRPr="005C1CC9" w:rsidTr="004D2159">
        <w:tc>
          <w:tcPr>
            <w:tcW w:w="3070" w:type="dxa"/>
          </w:tcPr>
          <w:p w:rsidR="004D2159" w:rsidRDefault="004D2159" w:rsidP="00B86289">
            <w:pPr>
              <w:jc w:val="center"/>
              <w:rPr>
                <w:b/>
                <w:lang w:val="de-DE"/>
              </w:rPr>
            </w:pPr>
          </w:p>
          <w:p w:rsidR="004D2159" w:rsidRPr="00ED68E8" w:rsidRDefault="004D2159" w:rsidP="00AC3726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 Intermedialität</w:t>
            </w:r>
            <w:r>
              <w:rPr>
                <w:b/>
                <w:lang w:val="de-DE"/>
              </w:rPr>
              <w:t xml:space="preserve"> #2</w:t>
            </w:r>
          </w:p>
          <w:p w:rsidR="004D2159" w:rsidRDefault="004D2159" w:rsidP="00AC3726">
            <w:pPr>
              <w:jc w:val="both"/>
              <w:rPr>
                <w:lang w:val="de-DE"/>
              </w:rPr>
            </w:pPr>
          </w:p>
          <w:p w:rsidR="004D2159" w:rsidRDefault="004D2159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Wolfgang Gast – Knut </w:t>
            </w:r>
            <w:proofErr w:type="spellStart"/>
            <w:r>
              <w:rPr>
                <w:lang w:val="de-DE"/>
              </w:rPr>
              <w:t>Hickethier</w:t>
            </w:r>
            <w:proofErr w:type="spellEnd"/>
            <w:r>
              <w:rPr>
                <w:lang w:val="de-DE"/>
              </w:rPr>
              <w:t xml:space="preserve"> – Burkhard </w:t>
            </w:r>
            <w:proofErr w:type="spellStart"/>
            <w:r>
              <w:rPr>
                <w:lang w:val="de-DE"/>
              </w:rPr>
              <w:t>Volmers</w:t>
            </w:r>
            <w:proofErr w:type="spellEnd"/>
            <w:r>
              <w:rPr>
                <w:lang w:val="de-DE"/>
              </w:rPr>
              <w:t>: Literaturverfilmungen als ein Kulturphänomen (S.125-135)</w:t>
            </w:r>
          </w:p>
          <w:p w:rsidR="004D2159" w:rsidRPr="005C1CC9" w:rsidRDefault="004D2159" w:rsidP="00A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4D2159" w:rsidRDefault="004D2159" w:rsidP="00AC3726">
            <w:pPr>
              <w:rPr>
                <w:i/>
                <w:lang w:val="de-DE"/>
              </w:rPr>
            </w:pPr>
          </w:p>
          <w:p w:rsidR="004D2159" w:rsidRDefault="004D2159" w:rsidP="00AC3726">
            <w:pPr>
              <w:rPr>
                <w:i/>
                <w:lang w:val="de-DE"/>
              </w:rPr>
            </w:pPr>
            <w:proofErr w:type="spellStart"/>
            <w:r w:rsidRPr="00610CD8">
              <w:rPr>
                <w:i/>
                <w:lang w:val="de-DE"/>
              </w:rPr>
              <w:t>Molnár</w:t>
            </w:r>
            <w:proofErr w:type="spellEnd"/>
            <w:r w:rsidRPr="00610CD8">
              <w:rPr>
                <w:i/>
                <w:lang w:val="de-DE"/>
              </w:rPr>
              <w:t xml:space="preserve">, </w:t>
            </w:r>
            <w:proofErr w:type="spellStart"/>
            <w:r w:rsidRPr="00610CD8">
              <w:rPr>
                <w:i/>
                <w:lang w:val="de-DE"/>
              </w:rPr>
              <w:t>Klára</w:t>
            </w:r>
            <w:proofErr w:type="spellEnd"/>
            <w:r w:rsidRPr="00610CD8">
              <w:rPr>
                <w:i/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Hg</w:t>
            </w:r>
            <w:proofErr w:type="spellEnd"/>
            <w:r>
              <w:rPr>
                <w:lang w:val="de-DE"/>
              </w:rPr>
              <w:t xml:space="preserve">.): </w:t>
            </w:r>
            <w:r w:rsidRPr="00610CD8">
              <w:rPr>
                <w:b/>
                <w:lang w:val="de-DE"/>
              </w:rPr>
              <w:t xml:space="preserve">Medien und </w:t>
            </w:r>
            <w:proofErr w:type="spellStart"/>
            <w:r w:rsidRPr="00610CD8">
              <w:rPr>
                <w:b/>
                <w:lang w:val="de-DE"/>
              </w:rPr>
              <w:t>Medialität</w:t>
            </w:r>
            <w:proofErr w:type="spellEnd"/>
            <w:r w:rsidRPr="00610CD8">
              <w:rPr>
                <w:b/>
                <w:lang w:val="de-DE"/>
              </w:rPr>
              <w:t>. Lehr- und Übungsmaterial mit Texten.</w:t>
            </w:r>
            <w:r>
              <w:rPr>
                <w:lang w:val="de-DE"/>
              </w:rPr>
              <w:t xml:space="preserve"> </w:t>
            </w:r>
            <w:r w:rsidRPr="00610CD8">
              <w:rPr>
                <w:u w:val="single"/>
                <w:lang w:val="de-DE"/>
              </w:rPr>
              <w:t>Grundwissen Kultur- und Medienwissenschaft III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3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  <w:p w:rsidR="004D2159" w:rsidRPr="005C1CC9" w:rsidRDefault="004D2159" w:rsidP="009E5BCA">
            <w:pPr>
              <w:rPr>
                <w:lang w:val="de-DE"/>
              </w:rPr>
            </w:pPr>
          </w:p>
        </w:tc>
      </w:tr>
      <w:tr w:rsidR="004D2159" w:rsidRPr="005C1CC9" w:rsidTr="004D2159">
        <w:tc>
          <w:tcPr>
            <w:tcW w:w="3070" w:type="dxa"/>
          </w:tcPr>
          <w:p w:rsidR="004D2159" w:rsidRPr="005C1CC9" w:rsidRDefault="004D2159" w:rsidP="00AC3726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Klausur #1</w:t>
            </w:r>
          </w:p>
        </w:tc>
        <w:tc>
          <w:tcPr>
            <w:tcW w:w="3071" w:type="dxa"/>
          </w:tcPr>
          <w:p w:rsidR="004D2159" w:rsidRDefault="004D2159" w:rsidP="009E5BC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Freud + Intermedialität </w:t>
            </w:r>
          </w:p>
          <w:p w:rsidR="004D2159" w:rsidRDefault="004D2159" w:rsidP="009E5BCA">
            <w:pPr>
              <w:rPr>
                <w:i/>
                <w:lang w:val="de-DE"/>
              </w:rPr>
            </w:pPr>
          </w:p>
          <w:p w:rsidR="004D2159" w:rsidRPr="005C1CC9" w:rsidRDefault="004D2159" w:rsidP="009E5BCA">
            <w:pPr>
              <w:rPr>
                <w:lang w:val="de-DE"/>
              </w:rPr>
            </w:pPr>
          </w:p>
        </w:tc>
      </w:tr>
      <w:tr w:rsidR="004D2159" w:rsidRPr="005C1CC9" w:rsidTr="004D2159">
        <w:tc>
          <w:tcPr>
            <w:tcW w:w="3070" w:type="dxa"/>
          </w:tcPr>
          <w:p w:rsidR="004D2159" w:rsidRPr="00663181" w:rsidRDefault="004D2159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lastRenderedPageBreak/>
              <w:t>Thema:</w:t>
            </w:r>
            <w:r>
              <w:rPr>
                <w:lang w:val="de-DE"/>
              </w:rPr>
              <w:t xml:space="preserve"> </w:t>
            </w:r>
            <w:r w:rsidRPr="00524293">
              <w:rPr>
                <w:b/>
                <w:lang w:val="de-DE"/>
              </w:rPr>
              <w:t>Geschichte und Gedächtnis</w:t>
            </w:r>
          </w:p>
          <w:p w:rsidR="004D2159" w:rsidRDefault="004D2159" w:rsidP="00AC3726">
            <w:pPr>
              <w:jc w:val="both"/>
              <w:rPr>
                <w:lang w:val="de-DE"/>
              </w:rPr>
            </w:pPr>
          </w:p>
          <w:p w:rsidR="004D2159" w:rsidRDefault="004D2159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Aleida Assmann: </w:t>
            </w:r>
          </w:p>
          <w:p w:rsidR="004D2159" w:rsidRDefault="004D2159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Drei Formen von Gedächtnis (S.15-25)</w:t>
            </w:r>
          </w:p>
          <w:p w:rsidR="004D2159" w:rsidRPr="00663181" w:rsidRDefault="004D2159" w:rsidP="00AC3726">
            <w:pPr>
              <w:jc w:val="both"/>
              <w:rPr>
                <w:b/>
                <w:lang w:val="de-DE"/>
              </w:rPr>
            </w:pPr>
            <w:proofErr w:type="spellStart"/>
            <w:r w:rsidRPr="00663181">
              <w:rPr>
                <w:b/>
                <w:lang w:val="de-DE"/>
              </w:rPr>
              <w:t>és</w:t>
            </w:r>
            <w:proofErr w:type="spellEnd"/>
          </w:p>
          <w:p w:rsidR="004D2159" w:rsidRDefault="004D2159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Aleida Assmann:</w:t>
            </w:r>
          </w:p>
          <w:p w:rsidR="004D2159" w:rsidRDefault="004D2159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Die Kollektivschuldthese – ein deutsches Trauma? (S.26-41)</w:t>
            </w:r>
          </w:p>
          <w:p w:rsidR="004D2159" w:rsidRDefault="004D2159" w:rsidP="00AC3726">
            <w:pPr>
              <w:jc w:val="center"/>
              <w:rPr>
                <w:b/>
                <w:lang w:val="de-DE"/>
              </w:rPr>
            </w:pPr>
          </w:p>
          <w:p w:rsidR="004D2159" w:rsidRPr="005C1CC9" w:rsidRDefault="004D2159" w:rsidP="00AC3726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D2159" w:rsidRPr="005C1CC9" w:rsidRDefault="004D2159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 xml:space="preserve">Horváth, Andrea / </w:t>
            </w:r>
            <w:proofErr w:type="spellStart"/>
            <w:r w:rsidRPr="00524293">
              <w:rPr>
                <w:i/>
                <w:lang w:val="de-DE"/>
              </w:rPr>
              <w:t>Pabis</w:t>
            </w:r>
            <w:proofErr w:type="spellEnd"/>
            <w:r w:rsidRPr="00524293">
              <w:rPr>
                <w:i/>
                <w:lang w:val="de-DE"/>
              </w:rPr>
              <w:t>, Eszter</w:t>
            </w:r>
            <w:r w:rsidRPr="00610CD8">
              <w:rPr>
                <w:lang w:val="de-DE"/>
              </w:rPr>
              <w:t xml:space="preserve"> (</w:t>
            </w:r>
            <w:proofErr w:type="spellStart"/>
            <w:r w:rsidRPr="00610CD8">
              <w:rPr>
                <w:lang w:val="de-DE"/>
              </w:rPr>
              <w:t>Hg</w:t>
            </w:r>
            <w:proofErr w:type="spellEnd"/>
            <w:r w:rsidRPr="00610CD8">
              <w:rPr>
                <w:lang w:val="de-DE"/>
              </w:rPr>
              <w:t xml:space="preserve">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D2159" w:rsidRPr="005C1CC9" w:rsidTr="004D2159">
        <w:tc>
          <w:tcPr>
            <w:tcW w:w="3070" w:type="dxa"/>
          </w:tcPr>
          <w:p w:rsidR="004D2159" w:rsidRPr="00524293" w:rsidRDefault="004D2159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 Kollektive Identitäten I: Die Nation</w:t>
            </w:r>
          </w:p>
          <w:p w:rsidR="004D2159" w:rsidRDefault="004D2159" w:rsidP="00663181">
            <w:pPr>
              <w:rPr>
                <w:lang w:val="de-DE"/>
              </w:rPr>
            </w:pPr>
          </w:p>
          <w:p w:rsidR="004D2159" w:rsidRDefault="004D2159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Hans-Ulrich </w:t>
            </w:r>
            <w:proofErr w:type="spellStart"/>
            <w:r>
              <w:rPr>
                <w:lang w:val="de-DE"/>
              </w:rPr>
              <w:t>Wehler</w:t>
            </w:r>
            <w:proofErr w:type="spellEnd"/>
            <w:r>
              <w:rPr>
                <w:lang w:val="de-DE"/>
              </w:rPr>
              <w:t>: Entstehung und erste Entwicklung des Nationalismus (S.54-62)</w:t>
            </w:r>
          </w:p>
          <w:p w:rsidR="004D2159" w:rsidRDefault="004D2159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Hans-Ulrich </w:t>
            </w:r>
            <w:proofErr w:type="spellStart"/>
            <w:r>
              <w:rPr>
                <w:lang w:val="de-DE"/>
              </w:rPr>
              <w:t>Wehler</w:t>
            </w:r>
            <w:proofErr w:type="spellEnd"/>
            <w:r>
              <w:rPr>
                <w:lang w:val="de-DE"/>
              </w:rPr>
              <w:t>: Der deutsche Nationalismus (S.63-79)</w:t>
            </w:r>
          </w:p>
          <w:p w:rsidR="004D2159" w:rsidRPr="005C1CC9" w:rsidRDefault="004D2159" w:rsidP="00AC3726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4D2159" w:rsidRPr="005C1CC9" w:rsidRDefault="004D2159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 xml:space="preserve">Horváth, Andrea / </w:t>
            </w:r>
            <w:proofErr w:type="spellStart"/>
            <w:r w:rsidRPr="00524293">
              <w:rPr>
                <w:i/>
                <w:lang w:val="de-DE"/>
              </w:rPr>
              <w:t>Pabis</w:t>
            </w:r>
            <w:proofErr w:type="spellEnd"/>
            <w:r w:rsidRPr="00524293">
              <w:rPr>
                <w:i/>
                <w:lang w:val="de-DE"/>
              </w:rPr>
              <w:t>, Eszter</w:t>
            </w:r>
            <w:r w:rsidRPr="00610CD8">
              <w:rPr>
                <w:lang w:val="de-DE"/>
              </w:rPr>
              <w:t xml:space="preserve"> (</w:t>
            </w:r>
            <w:proofErr w:type="spellStart"/>
            <w:r w:rsidRPr="00610CD8">
              <w:rPr>
                <w:lang w:val="de-DE"/>
              </w:rPr>
              <w:t>Hg</w:t>
            </w:r>
            <w:proofErr w:type="spellEnd"/>
            <w:r w:rsidRPr="00610CD8">
              <w:rPr>
                <w:lang w:val="de-DE"/>
              </w:rPr>
              <w:t xml:space="preserve">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D2159" w:rsidRPr="005C1CC9" w:rsidTr="004D2159">
        <w:tc>
          <w:tcPr>
            <w:tcW w:w="3070" w:type="dxa"/>
          </w:tcPr>
          <w:p w:rsidR="004D2159" w:rsidRPr="00524293" w:rsidRDefault="004D2159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 Kollektive Identitäten II: Das Geschlecht</w:t>
            </w:r>
          </w:p>
          <w:p w:rsidR="004D2159" w:rsidRDefault="004D2159" w:rsidP="00663181">
            <w:pPr>
              <w:rPr>
                <w:lang w:val="de-DE"/>
              </w:rPr>
            </w:pPr>
          </w:p>
          <w:p w:rsidR="004D2159" w:rsidRDefault="004D2159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Christina von Braun: </w:t>
            </w:r>
          </w:p>
          <w:p w:rsidR="004D2159" w:rsidRDefault="004D2159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Warum Gender Studies? (S.88-97)</w:t>
            </w:r>
          </w:p>
          <w:p w:rsidR="004D2159" w:rsidRDefault="004D2159" w:rsidP="00663181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Doerte</w:t>
            </w:r>
            <w:proofErr w:type="spellEnd"/>
            <w:r>
              <w:rPr>
                <w:lang w:val="de-DE"/>
              </w:rPr>
              <w:t xml:space="preserve"> Bischoff:</w:t>
            </w:r>
          </w:p>
          <w:p w:rsidR="004D2159" w:rsidRDefault="004D2159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„Gender“ als Kategorie der Kulturwissenschaft(S.98-106)</w:t>
            </w:r>
          </w:p>
          <w:p w:rsidR="004D2159" w:rsidRPr="005C1CC9" w:rsidRDefault="004D2159" w:rsidP="00663181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4D2159" w:rsidRDefault="004D2159" w:rsidP="009E5BCA">
            <w:pPr>
              <w:rPr>
                <w:i/>
                <w:lang w:val="de-DE"/>
              </w:rPr>
            </w:pPr>
          </w:p>
          <w:p w:rsidR="004D2159" w:rsidRPr="005C1CC9" w:rsidRDefault="004D2159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 xml:space="preserve">Horváth, Andrea / </w:t>
            </w:r>
            <w:proofErr w:type="spellStart"/>
            <w:r w:rsidRPr="00524293">
              <w:rPr>
                <w:i/>
                <w:lang w:val="de-DE"/>
              </w:rPr>
              <w:t>Pabis</w:t>
            </w:r>
            <w:proofErr w:type="spellEnd"/>
            <w:r w:rsidRPr="00524293">
              <w:rPr>
                <w:i/>
                <w:lang w:val="de-DE"/>
              </w:rPr>
              <w:t>, Eszter</w:t>
            </w:r>
            <w:r w:rsidRPr="00610CD8">
              <w:rPr>
                <w:lang w:val="de-DE"/>
              </w:rPr>
              <w:t xml:space="preserve"> (</w:t>
            </w:r>
            <w:proofErr w:type="spellStart"/>
            <w:r w:rsidRPr="00610CD8">
              <w:rPr>
                <w:lang w:val="de-DE"/>
              </w:rPr>
              <w:t>Hg</w:t>
            </w:r>
            <w:proofErr w:type="spellEnd"/>
            <w:r w:rsidRPr="00610CD8">
              <w:rPr>
                <w:lang w:val="de-DE"/>
              </w:rPr>
              <w:t xml:space="preserve">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 xml:space="preserve">., </w:t>
            </w:r>
            <w:proofErr w:type="spellStart"/>
            <w:r>
              <w:rPr>
                <w:lang w:val="de-DE"/>
              </w:rPr>
              <w:t>Bölcsész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Konzorcium</w:t>
            </w:r>
            <w:proofErr w:type="spellEnd"/>
            <w:r>
              <w:rPr>
                <w:lang w:val="de-DE"/>
              </w:rPr>
              <w:t>, 2006.</w:t>
            </w:r>
          </w:p>
        </w:tc>
      </w:tr>
      <w:tr w:rsidR="004D2159" w:rsidRPr="005C1CC9" w:rsidTr="004D2159">
        <w:tc>
          <w:tcPr>
            <w:tcW w:w="3070" w:type="dxa"/>
          </w:tcPr>
          <w:p w:rsidR="004D2159" w:rsidRPr="00AC3726" w:rsidRDefault="004D2159" w:rsidP="009E5BCA">
            <w:pPr>
              <w:jc w:val="center"/>
              <w:rPr>
                <w:b/>
                <w:lang w:val="de-DE"/>
              </w:rPr>
            </w:pPr>
            <w:r w:rsidRPr="00AC3726">
              <w:rPr>
                <w:b/>
                <w:lang w:val="de-DE"/>
              </w:rPr>
              <w:t>Klausur #2</w:t>
            </w:r>
          </w:p>
        </w:tc>
        <w:tc>
          <w:tcPr>
            <w:tcW w:w="3071" w:type="dxa"/>
          </w:tcPr>
          <w:p w:rsidR="004D2159" w:rsidRPr="000057B9" w:rsidRDefault="004D2159" w:rsidP="009E5BC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Gedächtnis + Nation + Geschle</w:t>
            </w:r>
            <w:r w:rsidRPr="000057B9">
              <w:rPr>
                <w:i/>
                <w:lang w:val="de-DE"/>
              </w:rPr>
              <w:t>cht</w:t>
            </w:r>
          </w:p>
        </w:tc>
      </w:tr>
      <w:tr w:rsidR="004D2159" w:rsidRPr="005C1CC9" w:rsidTr="004D2159">
        <w:tc>
          <w:tcPr>
            <w:tcW w:w="3070" w:type="dxa"/>
          </w:tcPr>
          <w:p w:rsidR="004D2159" w:rsidRPr="005C1CC9" w:rsidRDefault="004D2159" w:rsidP="009E5BC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Bewertung</w:t>
            </w:r>
          </w:p>
        </w:tc>
        <w:tc>
          <w:tcPr>
            <w:tcW w:w="3071" w:type="dxa"/>
          </w:tcPr>
          <w:p w:rsidR="004D2159" w:rsidRPr="005C1CC9" w:rsidRDefault="004D2159" w:rsidP="009E5BCA">
            <w:pPr>
              <w:rPr>
                <w:lang w:val="de-DE"/>
              </w:rPr>
            </w:pPr>
          </w:p>
        </w:tc>
      </w:tr>
    </w:tbl>
    <w:p w:rsidR="00B86289" w:rsidRDefault="00B86289" w:rsidP="00B86289"/>
    <w:p w:rsidR="00B86289" w:rsidRDefault="00B86289"/>
    <w:sectPr w:rsidR="00B86289" w:rsidSect="00B6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B0"/>
    <w:multiLevelType w:val="hybridMultilevel"/>
    <w:tmpl w:val="16868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289"/>
    <w:rsid w:val="000057B9"/>
    <w:rsid w:val="000376B8"/>
    <w:rsid w:val="003F4E52"/>
    <w:rsid w:val="004D2159"/>
    <w:rsid w:val="00663181"/>
    <w:rsid w:val="006704C0"/>
    <w:rsid w:val="00682701"/>
    <w:rsid w:val="007C65DA"/>
    <w:rsid w:val="008E1B21"/>
    <w:rsid w:val="00973392"/>
    <w:rsid w:val="009D285B"/>
    <w:rsid w:val="00AC3726"/>
    <w:rsid w:val="00B62EFF"/>
    <w:rsid w:val="00B86289"/>
    <w:rsid w:val="00D01335"/>
    <w:rsid w:val="00E1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289"/>
    <w:pPr>
      <w:spacing w:after="0" w:line="240" w:lineRule="auto"/>
    </w:pPr>
    <w:rPr>
      <w:rFonts w:eastAsiaTheme="minorEastAsia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6289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B8628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2022-02-21T11:15:00Z</dcterms:created>
  <dcterms:modified xsi:type="dcterms:W3CDTF">2022-02-21T11:16:00Z</dcterms:modified>
</cp:coreProperties>
</file>