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03" w:rsidRPr="00310103" w:rsidRDefault="003435A4" w:rsidP="00310103">
      <w:pPr>
        <w:shd w:val="clear" w:color="auto" w:fill="BFBFBF" w:themeFill="background1" w:themeFillShade="BF"/>
        <w:jc w:val="center"/>
        <w:rPr>
          <w:b/>
          <w:sz w:val="36"/>
          <w:szCs w:val="36"/>
          <w:lang w:val="de-DE"/>
        </w:rPr>
      </w:pPr>
      <w:r>
        <w:rPr>
          <w:b/>
          <w:sz w:val="32"/>
          <w:szCs w:val="32"/>
          <w:lang w:val="de-DE"/>
        </w:rPr>
        <w:t>Theorien der Kultur</w:t>
      </w:r>
    </w:p>
    <w:p w:rsidR="00AC2FDB" w:rsidRPr="00310103" w:rsidRDefault="00AC2FDB" w:rsidP="00310103">
      <w:pPr>
        <w:shd w:val="clear" w:color="auto" w:fill="BFBFBF" w:themeFill="background1" w:themeFillShade="BF"/>
        <w:jc w:val="center"/>
        <w:rPr>
          <w:bCs/>
          <w:iCs/>
          <w:sz w:val="28"/>
          <w:szCs w:val="28"/>
          <w:lang w:val="de-DE"/>
        </w:rPr>
      </w:pPr>
      <w:r w:rsidRPr="00310103">
        <w:rPr>
          <w:bCs/>
          <w:iCs/>
          <w:sz w:val="28"/>
          <w:szCs w:val="28"/>
          <w:lang w:val="de-DE"/>
        </w:rPr>
        <w:t>Beschreibung der Lehrveranstaltung</w:t>
      </w:r>
    </w:p>
    <w:p w:rsidR="00AC2FDB" w:rsidRPr="00310103" w:rsidRDefault="00AC2FDB" w:rsidP="00AC2FDB">
      <w:pPr>
        <w:rPr>
          <w:b/>
          <w:i/>
          <w:lang w:val="de-DE"/>
        </w:rPr>
      </w:pPr>
    </w:p>
    <w:p w:rsidR="00AC2FDB" w:rsidRPr="00310103" w:rsidRDefault="00AC2FDB" w:rsidP="00AC2FDB">
      <w:pPr>
        <w:rPr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7"/>
        <w:gridCol w:w="2067"/>
        <w:gridCol w:w="2067"/>
        <w:gridCol w:w="2068"/>
        <w:gridCol w:w="2070"/>
      </w:tblGrid>
      <w:tr w:rsidR="00AC2FDB" w:rsidRPr="00310103" w:rsidTr="00F25BE9">
        <w:trPr>
          <w:trHeight w:val="928"/>
          <w:jc w:val="center"/>
        </w:trPr>
        <w:tc>
          <w:tcPr>
            <w:tcW w:w="2067" w:type="dxa"/>
          </w:tcPr>
          <w:p w:rsidR="00AC2FDB" w:rsidRPr="00310103" w:rsidRDefault="00AC2FDB" w:rsidP="00AC2FDB">
            <w:pPr>
              <w:rPr>
                <w:lang w:val="de-DE"/>
              </w:rPr>
            </w:pPr>
            <w:r w:rsidRPr="00310103">
              <w:rPr>
                <w:lang w:val="de-DE"/>
              </w:rPr>
              <w:t>Codenummer:</w:t>
            </w:r>
          </w:p>
          <w:p w:rsidR="007D35FE" w:rsidRPr="00310103" w:rsidRDefault="007D35FE" w:rsidP="00AC2FDB">
            <w:pPr>
              <w:rPr>
                <w:lang w:val="de-DE"/>
              </w:rPr>
            </w:pPr>
            <w:r w:rsidRPr="00310103">
              <w:rPr>
                <w:lang w:val="de-DE"/>
              </w:rPr>
              <w:t>BTNM</w:t>
            </w:r>
            <w:r w:rsidR="00CD4E42">
              <w:rPr>
                <w:lang w:val="de-DE"/>
              </w:rPr>
              <w:t>514</w:t>
            </w:r>
            <w:r w:rsidRPr="00310103">
              <w:rPr>
                <w:lang w:val="de-DE"/>
              </w:rPr>
              <w:t>OMA</w:t>
            </w:r>
          </w:p>
        </w:tc>
        <w:tc>
          <w:tcPr>
            <w:tcW w:w="2067" w:type="dxa"/>
          </w:tcPr>
          <w:p w:rsidR="00AC2FDB" w:rsidRPr="00310103" w:rsidRDefault="00AC2FDB" w:rsidP="00896BBE">
            <w:pPr>
              <w:rPr>
                <w:lang w:val="de-DE"/>
              </w:rPr>
            </w:pPr>
            <w:r w:rsidRPr="00310103">
              <w:rPr>
                <w:lang w:val="de-DE"/>
              </w:rPr>
              <w:t>Wochenstunden:</w:t>
            </w:r>
            <w:r w:rsidR="00E8489F" w:rsidRPr="00310103">
              <w:rPr>
                <w:lang w:val="de-DE"/>
              </w:rPr>
              <w:t xml:space="preserve"> </w:t>
            </w:r>
          </w:p>
          <w:p w:rsidR="006A0043" w:rsidRPr="00310103" w:rsidRDefault="006A0043" w:rsidP="00896BBE">
            <w:pPr>
              <w:rPr>
                <w:lang w:val="de-DE"/>
              </w:rPr>
            </w:pPr>
            <w:r w:rsidRPr="00310103">
              <w:rPr>
                <w:lang w:val="de-DE"/>
              </w:rPr>
              <w:t>2</w:t>
            </w:r>
          </w:p>
        </w:tc>
        <w:tc>
          <w:tcPr>
            <w:tcW w:w="2067" w:type="dxa"/>
          </w:tcPr>
          <w:p w:rsidR="00AC2FDB" w:rsidRPr="00310103" w:rsidRDefault="00AC2FDB" w:rsidP="00AC2FDB">
            <w:pPr>
              <w:rPr>
                <w:lang w:val="de-DE"/>
              </w:rPr>
            </w:pPr>
            <w:r w:rsidRPr="00310103">
              <w:rPr>
                <w:lang w:val="de-DE"/>
              </w:rPr>
              <w:t>Kreditpunkte</w:t>
            </w:r>
            <w:r w:rsidR="00896BBE" w:rsidRPr="00310103">
              <w:rPr>
                <w:lang w:val="de-DE"/>
              </w:rPr>
              <w:t>:</w:t>
            </w:r>
          </w:p>
          <w:p w:rsidR="00AC2FDB" w:rsidRPr="00310103" w:rsidRDefault="00264023" w:rsidP="00AC2FDB">
            <w:pPr>
              <w:rPr>
                <w:lang w:val="de-DE"/>
              </w:rPr>
            </w:pPr>
            <w:r w:rsidRPr="00310103">
              <w:rPr>
                <w:lang w:val="de-DE"/>
              </w:rPr>
              <w:t>2</w:t>
            </w:r>
          </w:p>
        </w:tc>
        <w:tc>
          <w:tcPr>
            <w:tcW w:w="2068" w:type="dxa"/>
          </w:tcPr>
          <w:p w:rsidR="00AC2FDB" w:rsidRPr="00310103" w:rsidRDefault="00AC2FDB" w:rsidP="00CD4E42">
            <w:pPr>
              <w:rPr>
                <w:lang w:val="de-DE"/>
              </w:rPr>
            </w:pPr>
            <w:r w:rsidRPr="00310103">
              <w:rPr>
                <w:lang w:val="de-DE"/>
              </w:rPr>
              <w:t>Termin</w:t>
            </w:r>
            <w:r w:rsidR="00896BBE" w:rsidRPr="00310103">
              <w:rPr>
                <w:lang w:val="de-DE"/>
              </w:rPr>
              <w:t>:</w:t>
            </w:r>
            <w:r w:rsidR="006A0043" w:rsidRPr="00310103">
              <w:rPr>
                <w:lang w:val="de-DE"/>
              </w:rPr>
              <w:t xml:space="preserve"> </w:t>
            </w:r>
            <w:r w:rsidR="00CD4E42">
              <w:rPr>
                <w:lang w:val="de-DE"/>
              </w:rPr>
              <w:t>Mo. 12-14</w:t>
            </w:r>
          </w:p>
        </w:tc>
        <w:tc>
          <w:tcPr>
            <w:tcW w:w="2068" w:type="dxa"/>
          </w:tcPr>
          <w:p w:rsidR="00AC2FDB" w:rsidRPr="00310103" w:rsidRDefault="00AC2FDB" w:rsidP="00264023">
            <w:pPr>
              <w:rPr>
                <w:lang w:val="de-DE"/>
              </w:rPr>
            </w:pPr>
            <w:r w:rsidRPr="00310103">
              <w:rPr>
                <w:lang w:val="de-DE"/>
              </w:rPr>
              <w:t>Raum</w:t>
            </w:r>
            <w:r w:rsidR="00896BBE" w:rsidRPr="00310103">
              <w:rPr>
                <w:lang w:val="de-DE"/>
              </w:rPr>
              <w:t>:</w:t>
            </w:r>
            <w:r w:rsidR="006A0043" w:rsidRPr="00310103">
              <w:rPr>
                <w:lang w:val="de-DE"/>
              </w:rPr>
              <w:t xml:space="preserve"> </w:t>
            </w:r>
            <w:r w:rsidR="00CD4E42">
              <w:rPr>
                <w:lang w:val="de-DE"/>
              </w:rPr>
              <w:t>123</w:t>
            </w:r>
          </w:p>
        </w:tc>
      </w:tr>
      <w:tr w:rsidR="00896BBE" w:rsidRPr="00310103" w:rsidTr="00F25BE9">
        <w:trPr>
          <w:trHeight w:val="618"/>
          <w:jc w:val="center"/>
        </w:trPr>
        <w:tc>
          <w:tcPr>
            <w:tcW w:w="10339" w:type="dxa"/>
            <w:gridSpan w:val="5"/>
          </w:tcPr>
          <w:p w:rsidR="006A0043" w:rsidRPr="00310103" w:rsidRDefault="00896BBE" w:rsidP="006A0043">
            <w:pPr>
              <w:rPr>
                <w:lang w:val="de-DE"/>
              </w:rPr>
            </w:pPr>
            <w:r w:rsidRPr="00310103">
              <w:rPr>
                <w:lang w:val="de-DE"/>
              </w:rPr>
              <w:t>Titel der Lehrveranstaltung:</w:t>
            </w:r>
            <w:r w:rsidR="006A0043" w:rsidRPr="00310103">
              <w:rPr>
                <w:lang w:val="de-DE"/>
              </w:rPr>
              <w:t xml:space="preserve"> </w:t>
            </w:r>
            <w:r w:rsidR="003435A4">
              <w:rPr>
                <w:b/>
                <w:lang w:val="de-DE"/>
              </w:rPr>
              <w:t>Theorien</w:t>
            </w:r>
            <w:r w:rsidR="004D2791" w:rsidRPr="00310103">
              <w:rPr>
                <w:b/>
                <w:lang w:val="de-DE"/>
              </w:rPr>
              <w:t xml:space="preserve"> der Kultur</w:t>
            </w:r>
          </w:p>
          <w:p w:rsidR="00896BBE" w:rsidRPr="00310103" w:rsidRDefault="00896BBE" w:rsidP="006A0043">
            <w:pPr>
              <w:rPr>
                <w:lang w:val="de-DE"/>
              </w:rPr>
            </w:pPr>
          </w:p>
        </w:tc>
      </w:tr>
      <w:tr w:rsidR="00896BBE" w:rsidRPr="00310103" w:rsidTr="00F25BE9">
        <w:trPr>
          <w:trHeight w:val="296"/>
          <w:jc w:val="center"/>
        </w:trPr>
        <w:tc>
          <w:tcPr>
            <w:tcW w:w="10339" w:type="dxa"/>
            <w:gridSpan w:val="5"/>
          </w:tcPr>
          <w:p w:rsidR="00896BBE" w:rsidRPr="00310103" w:rsidRDefault="006A0043" w:rsidP="007D35FE">
            <w:pPr>
              <w:rPr>
                <w:lang w:val="de-DE"/>
              </w:rPr>
            </w:pPr>
            <w:r w:rsidRPr="00310103">
              <w:rPr>
                <w:lang w:val="de-DE"/>
              </w:rPr>
              <w:t>Dozent</w:t>
            </w:r>
            <w:r w:rsidR="007D35FE" w:rsidRPr="00310103">
              <w:rPr>
                <w:lang w:val="de-DE"/>
              </w:rPr>
              <w:t xml:space="preserve">: </w:t>
            </w:r>
            <w:proofErr w:type="spellStart"/>
            <w:r w:rsidR="007D35FE" w:rsidRPr="00310103">
              <w:rPr>
                <w:lang w:val="de-DE"/>
              </w:rPr>
              <w:t>Zoltán</w:t>
            </w:r>
            <w:proofErr w:type="spellEnd"/>
            <w:r w:rsidR="003435A4">
              <w:rPr>
                <w:lang w:val="de-DE"/>
              </w:rPr>
              <w:t xml:space="preserve"> </w:t>
            </w:r>
            <w:proofErr w:type="spellStart"/>
            <w:r w:rsidR="003435A4">
              <w:rPr>
                <w:lang w:val="de-DE"/>
              </w:rPr>
              <w:t>Mikoly</w:t>
            </w:r>
            <w:proofErr w:type="spellEnd"/>
          </w:p>
        </w:tc>
      </w:tr>
    </w:tbl>
    <w:p w:rsidR="00AC2FDB" w:rsidRPr="00310103" w:rsidRDefault="00AC2FDB" w:rsidP="00AC2FDB">
      <w:pPr>
        <w:rPr>
          <w:lang w:val="de-DE"/>
        </w:rPr>
      </w:pPr>
    </w:p>
    <w:p w:rsidR="00AC2FDB" w:rsidRPr="00310103" w:rsidRDefault="00AC2FDB" w:rsidP="00310103">
      <w:pPr>
        <w:shd w:val="clear" w:color="auto" w:fill="BFBFBF" w:themeFill="background1" w:themeFillShade="BF"/>
        <w:rPr>
          <w:b/>
          <w:iCs/>
          <w:sz w:val="26"/>
          <w:szCs w:val="26"/>
          <w:lang w:val="de-DE"/>
        </w:rPr>
      </w:pPr>
      <w:r w:rsidRPr="00310103">
        <w:rPr>
          <w:b/>
          <w:iCs/>
          <w:sz w:val="26"/>
          <w:szCs w:val="26"/>
          <w:lang w:val="de-DE"/>
        </w:rPr>
        <w:t>Beschreibung</w:t>
      </w:r>
    </w:p>
    <w:p w:rsidR="00AC2FDB" w:rsidRPr="00310103" w:rsidRDefault="00AC2FDB" w:rsidP="00AC2FDB">
      <w:pPr>
        <w:rPr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AC2FDB" w:rsidRPr="00310103" w:rsidTr="00F25BE9">
        <w:trPr>
          <w:trHeight w:val="2291"/>
          <w:jc w:val="center"/>
        </w:trPr>
        <w:tc>
          <w:tcPr>
            <w:tcW w:w="10314" w:type="dxa"/>
          </w:tcPr>
          <w:p w:rsidR="00AC2FDB" w:rsidRDefault="00CD4E42" w:rsidP="008F76C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Das Seminar setzt sich mit kulturanthropologischen Theorien, Theorien der Gender Studies, Fragestellungen der Fremdheitsforschung und Problemfeldern der Raumtheorien</w:t>
            </w:r>
            <w:r w:rsidR="003435A4">
              <w:rPr>
                <w:lang w:val="de-DE"/>
              </w:rPr>
              <w:t xml:space="preserve"> auseinander</w:t>
            </w:r>
            <w:r>
              <w:rPr>
                <w:lang w:val="de-DE"/>
              </w:rPr>
              <w:t xml:space="preserve">. Diese kulturwissenschaftlichen Themen </w:t>
            </w:r>
            <w:r w:rsidR="006A0043" w:rsidRPr="00310103">
              <w:rPr>
                <w:lang w:val="de-DE"/>
              </w:rPr>
              <w:t>vermitteln Fragen und Problematiken, deren Behandlung zum Verstehen aktueller, kultureller Erscheinungen und komplexer Prozesse beiträgt, wie die Fragen der Multi- oder Interkulturalität</w:t>
            </w:r>
            <w:r>
              <w:rPr>
                <w:lang w:val="de-DE"/>
              </w:rPr>
              <w:t>, des Rassismus</w:t>
            </w:r>
            <w:r w:rsidR="003435A4">
              <w:rPr>
                <w:lang w:val="de-DE"/>
              </w:rPr>
              <w:t xml:space="preserve"> oder</w:t>
            </w:r>
            <w:r>
              <w:rPr>
                <w:lang w:val="de-DE"/>
              </w:rPr>
              <w:t xml:space="preserve"> des Feminismus.</w:t>
            </w:r>
          </w:p>
          <w:p w:rsidR="00CD4E42" w:rsidRDefault="00CD4E42" w:rsidP="008F76C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Für das Seminar sollen </w:t>
            </w:r>
            <w:r w:rsidR="003435A4">
              <w:rPr>
                <w:lang w:val="de-DE"/>
              </w:rPr>
              <w:t xml:space="preserve">zu Hause </w:t>
            </w:r>
            <w:r>
              <w:rPr>
                <w:lang w:val="de-DE"/>
              </w:rPr>
              <w:t>theoretische Texte gelesen und vorbereitet werden.</w:t>
            </w:r>
          </w:p>
          <w:p w:rsidR="00CD4E42" w:rsidRPr="00310103" w:rsidRDefault="00CD4E42" w:rsidP="008F76C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Die TN sollen über eines der angegeben Themen auch Impulsreferat halten, in dem sie auf Fragestellungen der gelesenen Texte eingehen, ihre Hauptaussagen darstellen, sie interpretieren bzw. kritisch betrachten.</w:t>
            </w:r>
            <w:r w:rsidR="003435A4">
              <w:rPr>
                <w:lang w:val="de-DE"/>
              </w:rPr>
              <w:t xml:space="preserve"> Erwartet wird auch die aktive Mitarbeit.</w:t>
            </w:r>
            <w:r>
              <w:rPr>
                <w:lang w:val="de-DE"/>
              </w:rPr>
              <w:t xml:space="preserve"> </w:t>
            </w:r>
          </w:p>
        </w:tc>
      </w:tr>
    </w:tbl>
    <w:p w:rsidR="00AC2FDB" w:rsidRPr="00310103" w:rsidRDefault="00AC2FDB" w:rsidP="00AC2FDB">
      <w:pPr>
        <w:rPr>
          <w:lang w:val="de-DE"/>
        </w:rPr>
      </w:pPr>
    </w:p>
    <w:p w:rsidR="00896BBE" w:rsidRPr="00310103" w:rsidRDefault="00896BBE" w:rsidP="00310103">
      <w:pPr>
        <w:shd w:val="clear" w:color="auto" w:fill="BFBFBF" w:themeFill="background1" w:themeFillShade="BF"/>
        <w:rPr>
          <w:b/>
          <w:iCs/>
          <w:sz w:val="26"/>
          <w:szCs w:val="26"/>
          <w:lang w:val="de-DE"/>
        </w:rPr>
      </w:pPr>
      <w:r w:rsidRPr="00310103">
        <w:rPr>
          <w:b/>
          <w:iCs/>
          <w:sz w:val="26"/>
          <w:szCs w:val="26"/>
          <w:lang w:val="de-DE"/>
        </w:rPr>
        <w:t>Thematik</w:t>
      </w:r>
    </w:p>
    <w:p w:rsidR="00896BBE" w:rsidRPr="00310103" w:rsidRDefault="00896BBE" w:rsidP="00AC2FDB">
      <w:pPr>
        <w:rPr>
          <w:b/>
          <w:i/>
          <w:u w:val="single"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"/>
        <w:gridCol w:w="9210"/>
      </w:tblGrid>
      <w:tr w:rsidR="00896BBE" w:rsidRPr="00310103" w:rsidTr="00F25BE9">
        <w:trPr>
          <w:trHeight w:val="280"/>
          <w:jc w:val="center"/>
        </w:trPr>
        <w:tc>
          <w:tcPr>
            <w:tcW w:w="1060" w:type="dxa"/>
            <w:shd w:val="clear" w:color="auto" w:fill="auto"/>
          </w:tcPr>
          <w:p w:rsidR="00896BBE" w:rsidRPr="00310103" w:rsidRDefault="00896BBE" w:rsidP="00AC2FDB">
            <w:pPr>
              <w:rPr>
                <w:b/>
                <w:lang w:val="de-DE"/>
              </w:rPr>
            </w:pPr>
            <w:r w:rsidRPr="00310103">
              <w:rPr>
                <w:b/>
                <w:lang w:val="de-DE"/>
              </w:rPr>
              <w:t>Woche</w:t>
            </w:r>
          </w:p>
        </w:tc>
        <w:tc>
          <w:tcPr>
            <w:tcW w:w="9210" w:type="dxa"/>
            <w:shd w:val="clear" w:color="auto" w:fill="auto"/>
          </w:tcPr>
          <w:p w:rsidR="00896BBE" w:rsidRPr="00310103" w:rsidRDefault="00896BBE" w:rsidP="00AC2FDB">
            <w:pPr>
              <w:rPr>
                <w:b/>
                <w:lang w:val="de-DE"/>
              </w:rPr>
            </w:pPr>
            <w:r w:rsidRPr="00310103">
              <w:rPr>
                <w:b/>
                <w:lang w:val="de-DE"/>
              </w:rPr>
              <w:t>Thema</w:t>
            </w:r>
          </w:p>
        </w:tc>
      </w:tr>
      <w:tr w:rsidR="00896BBE" w:rsidRPr="00310103" w:rsidTr="00F25BE9">
        <w:trPr>
          <w:trHeight w:val="560"/>
          <w:jc w:val="center"/>
        </w:trPr>
        <w:tc>
          <w:tcPr>
            <w:tcW w:w="1060" w:type="dxa"/>
            <w:shd w:val="clear" w:color="auto" w:fill="auto"/>
          </w:tcPr>
          <w:p w:rsidR="00896BBE" w:rsidRPr="00310103" w:rsidRDefault="00896BBE" w:rsidP="000474F8">
            <w:pPr>
              <w:jc w:val="center"/>
              <w:rPr>
                <w:lang w:val="de-DE"/>
              </w:rPr>
            </w:pPr>
            <w:r w:rsidRPr="00310103">
              <w:rPr>
                <w:lang w:val="de-DE"/>
              </w:rPr>
              <w:t>1</w:t>
            </w:r>
          </w:p>
        </w:tc>
        <w:tc>
          <w:tcPr>
            <w:tcW w:w="9210" w:type="dxa"/>
            <w:shd w:val="clear" w:color="auto" w:fill="auto"/>
          </w:tcPr>
          <w:p w:rsidR="00896BBE" w:rsidRPr="00310103" w:rsidRDefault="006A0043" w:rsidP="00AC2FDB">
            <w:pPr>
              <w:rPr>
                <w:lang w:val="de-DE"/>
              </w:rPr>
            </w:pPr>
            <w:r w:rsidRPr="00310103">
              <w:rPr>
                <w:b/>
                <w:lang w:val="de-DE"/>
              </w:rPr>
              <w:t>Orientierung</w:t>
            </w:r>
          </w:p>
        </w:tc>
      </w:tr>
      <w:tr w:rsidR="00896BBE" w:rsidRPr="00310103" w:rsidTr="00767617">
        <w:trPr>
          <w:trHeight w:val="1007"/>
          <w:jc w:val="center"/>
        </w:trPr>
        <w:tc>
          <w:tcPr>
            <w:tcW w:w="1060" w:type="dxa"/>
            <w:shd w:val="clear" w:color="auto" w:fill="auto"/>
          </w:tcPr>
          <w:p w:rsidR="00896BBE" w:rsidRPr="00310103" w:rsidRDefault="00896BBE" w:rsidP="000474F8">
            <w:pPr>
              <w:jc w:val="center"/>
              <w:rPr>
                <w:lang w:val="de-DE"/>
              </w:rPr>
            </w:pPr>
            <w:r w:rsidRPr="00310103">
              <w:rPr>
                <w:lang w:val="de-DE"/>
              </w:rPr>
              <w:t>2</w:t>
            </w:r>
          </w:p>
        </w:tc>
        <w:tc>
          <w:tcPr>
            <w:tcW w:w="9210" w:type="dxa"/>
            <w:shd w:val="clear" w:color="auto" w:fill="auto"/>
          </w:tcPr>
          <w:p w:rsidR="00896BBE" w:rsidRDefault="00F14AD9" w:rsidP="0076761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Kulturwissenschaften</w:t>
            </w:r>
            <w:r w:rsidR="00FF1834">
              <w:rPr>
                <w:b/>
                <w:lang w:val="de-DE"/>
              </w:rPr>
              <w:t xml:space="preserve"> </w:t>
            </w:r>
            <w:r w:rsidR="00481A87">
              <w:rPr>
                <w:b/>
                <w:lang w:val="de-DE"/>
              </w:rPr>
              <w:t>(</w:t>
            </w:r>
            <w:r w:rsidR="004420A2">
              <w:rPr>
                <w:b/>
                <w:lang w:val="de-DE"/>
              </w:rPr>
              <w:t>3</w:t>
            </w:r>
            <w:r w:rsidR="00481A87">
              <w:rPr>
                <w:b/>
                <w:lang w:val="de-DE"/>
              </w:rPr>
              <w:t>)</w:t>
            </w:r>
          </w:p>
          <w:p w:rsidR="004420A2" w:rsidRPr="004420A2" w:rsidRDefault="004420A2" w:rsidP="00767617">
            <w:pPr>
              <w:rPr>
                <w:lang w:val="de-DE"/>
              </w:rPr>
            </w:pPr>
            <w:r>
              <w:rPr>
                <w:i/>
                <w:iCs/>
                <w:lang w:val="de-DE"/>
              </w:rPr>
              <w:t xml:space="preserve">Einführung in die Kulturwissenschaften </w:t>
            </w:r>
            <w:r>
              <w:rPr>
                <w:lang w:val="de-DE"/>
              </w:rPr>
              <w:t xml:space="preserve">S. </w:t>
            </w:r>
            <w:r w:rsidR="00BE6158">
              <w:rPr>
                <w:lang w:val="de-DE"/>
              </w:rPr>
              <w:t>1</w:t>
            </w:r>
            <w:r>
              <w:rPr>
                <w:lang w:val="de-DE"/>
              </w:rPr>
              <w:t xml:space="preserve">–9; S. </w:t>
            </w:r>
            <w:r w:rsidR="00BE6158">
              <w:rPr>
                <w:lang w:val="de-DE"/>
              </w:rPr>
              <w:t>31–35; S. 39–46, S. 47–48</w:t>
            </w:r>
          </w:p>
        </w:tc>
      </w:tr>
      <w:tr w:rsidR="00896BBE" w:rsidRPr="00310103" w:rsidTr="00767617">
        <w:trPr>
          <w:trHeight w:val="1045"/>
          <w:jc w:val="center"/>
        </w:trPr>
        <w:tc>
          <w:tcPr>
            <w:tcW w:w="1060" w:type="dxa"/>
            <w:shd w:val="clear" w:color="auto" w:fill="auto"/>
          </w:tcPr>
          <w:p w:rsidR="00896BBE" w:rsidRPr="00310103" w:rsidRDefault="00896BBE" w:rsidP="000474F8">
            <w:pPr>
              <w:jc w:val="center"/>
              <w:rPr>
                <w:lang w:val="de-DE"/>
              </w:rPr>
            </w:pPr>
            <w:r w:rsidRPr="00310103">
              <w:rPr>
                <w:lang w:val="de-DE"/>
              </w:rPr>
              <w:t>3</w:t>
            </w:r>
          </w:p>
        </w:tc>
        <w:tc>
          <w:tcPr>
            <w:tcW w:w="9210" w:type="dxa"/>
            <w:shd w:val="clear" w:color="auto" w:fill="auto"/>
          </w:tcPr>
          <w:p w:rsidR="008F7785" w:rsidRDefault="00F14AD9" w:rsidP="008F778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Clifford Geertz: Dichte Beschreibung. Bemerkung zu einer deutenden Theorie von Kultur</w:t>
            </w:r>
            <w:r w:rsidR="00FF1834">
              <w:rPr>
                <w:b/>
                <w:lang w:val="de-DE"/>
              </w:rPr>
              <w:t xml:space="preserve"> </w:t>
            </w:r>
            <w:r w:rsidR="00481A87">
              <w:rPr>
                <w:b/>
                <w:lang w:val="de-DE"/>
              </w:rPr>
              <w:t>(</w:t>
            </w:r>
            <w:r w:rsidR="00FF1834">
              <w:rPr>
                <w:b/>
                <w:lang w:val="de-DE"/>
              </w:rPr>
              <w:t>1</w:t>
            </w:r>
            <w:r w:rsidR="00481A87">
              <w:rPr>
                <w:b/>
                <w:lang w:val="de-DE"/>
              </w:rPr>
              <w:t>)</w:t>
            </w:r>
          </w:p>
          <w:p w:rsidR="002B20BC" w:rsidRPr="002B20BC" w:rsidRDefault="002B20BC" w:rsidP="008F7785">
            <w:pPr>
              <w:rPr>
                <w:bCs/>
                <w:lang w:val="de-DE"/>
              </w:rPr>
            </w:pPr>
            <w:r>
              <w:rPr>
                <w:bCs/>
                <w:i/>
                <w:iCs/>
                <w:lang w:val="de-DE"/>
              </w:rPr>
              <w:t xml:space="preserve">Theorien der Kultur </w:t>
            </w:r>
            <w:r>
              <w:rPr>
                <w:bCs/>
                <w:lang w:val="de-DE"/>
              </w:rPr>
              <w:t>S. 6–14</w:t>
            </w:r>
          </w:p>
          <w:p w:rsidR="00896BBE" w:rsidRPr="00310103" w:rsidRDefault="008F7785" w:rsidP="007C5C33">
            <w:pPr>
              <w:rPr>
                <w:i/>
                <w:lang w:val="de-DE"/>
              </w:rPr>
            </w:pPr>
            <w:r w:rsidRPr="00310103">
              <w:rPr>
                <w:i/>
                <w:lang w:val="de-DE"/>
              </w:rPr>
              <w:t xml:space="preserve"> </w:t>
            </w:r>
          </w:p>
        </w:tc>
      </w:tr>
      <w:tr w:rsidR="007C5C33" w:rsidRPr="00310103" w:rsidTr="00767617">
        <w:trPr>
          <w:trHeight w:val="913"/>
          <w:jc w:val="center"/>
        </w:trPr>
        <w:tc>
          <w:tcPr>
            <w:tcW w:w="1060" w:type="dxa"/>
            <w:shd w:val="clear" w:color="auto" w:fill="auto"/>
          </w:tcPr>
          <w:p w:rsidR="007C5C33" w:rsidRPr="00310103" w:rsidRDefault="007C5C33" w:rsidP="000474F8">
            <w:pPr>
              <w:jc w:val="center"/>
              <w:rPr>
                <w:lang w:val="de-DE"/>
              </w:rPr>
            </w:pPr>
            <w:r w:rsidRPr="00310103">
              <w:rPr>
                <w:lang w:val="de-DE"/>
              </w:rPr>
              <w:t>4</w:t>
            </w:r>
          </w:p>
        </w:tc>
        <w:tc>
          <w:tcPr>
            <w:tcW w:w="9210" w:type="dxa"/>
            <w:shd w:val="clear" w:color="auto" w:fill="auto"/>
          </w:tcPr>
          <w:p w:rsidR="007C5C33" w:rsidRPr="00310103" w:rsidRDefault="00F14AD9" w:rsidP="008F778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Edward Said: Orientalismus</w:t>
            </w:r>
            <w:r w:rsidR="00FF1834">
              <w:rPr>
                <w:b/>
                <w:lang w:val="de-DE"/>
              </w:rPr>
              <w:t xml:space="preserve"> </w:t>
            </w:r>
            <w:r w:rsidR="00481A87">
              <w:rPr>
                <w:b/>
                <w:lang w:val="de-DE"/>
              </w:rPr>
              <w:t>(</w:t>
            </w:r>
            <w:r w:rsidR="00FF1834">
              <w:rPr>
                <w:b/>
                <w:lang w:val="de-DE"/>
              </w:rPr>
              <w:t>3</w:t>
            </w:r>
            <w:r w:rsidR="00481A87">
              <w:rPr>
                <w:b/>
                <w:lang w:val="de-DE"/>
              </w:rPr>
              <w:t>)</w:t>
            </w:r>
          </w:p>
          <w:p w:rsidR="002B20BC" w:rsidRPr="002B20BC" w:rsidRDefault="002B20BC" w:rsidP="002B20BC">
            <w:pPr>
              <w:rPr>
                <w:bCs/>
                <w:lang w:val="de-DE"/>
              </w:rPr>
            </w:pPr>
            <w:r>
              <w:rPr>
                <w:bCs/>
                <w:i/>
                <w:iCs/>
                <w:lang w:val="de-DE"/>
              </w:rPr>
              <w:t xml:space="preserve">Theorien der Kultur </w:t>
            </w:r>
            <w:r>
              <w:rPr>
                <w:bCs/>
                <w:lang w:val="de-DE"/>
              </w:rPr>
              <w:t>S. 16–54</w:t>
            </w:r>
          </w:p>
          <w:p w:rsidR="003076A2" w:rsidRPr="00A44494" w:rsidRDefault="003076A2" w:rsidP="00C103C5">
            <w:pPr>
              <w:rPr>
                <w:b/>
                <w:iCs/>
                <w:lang w:val="de-DE"/>
              </w:rPr>
            </w:pPr>
          </w:p>
        </w:tc>
      </w:tr>
      <w:tr w:rsidR="00896BBE" w:rsidRPr="00310103" w:rsidTr="00767617">
        <w:trPr>
          <w:trHeight w:val="923"/>
          <w:jc w:val="center"/>
        </w:trPr>
        <w:tc>
          <w:tcPr>
            <w:tcW w:w="1060" w:type="dxa"/>
            <w:shd w:val="clear" w:color="auto" w:fill="auto"/>
          </w:tcPr>
          <w:p w:rsidR="00896BBE" w:rsidRPr="00310103" w:rsidRDefault="007C5C33" w:rsidP="000474F8">
            <w:pPr>
              <w:jc w:val="center"/>
              <w:rPr>
                <w:lang w:val="de-DE"/>
              </w:rPr>
            </w:pPr>
            <w:r w:rsidRPr="00310103">
              <w:rPr>
                <w:lang w:val="de-DE"/>
              </w:rPr>
              <w:t>5</w:t>
            </w:r>
          </w:p>
        </w:tc>
        <w:tc>
          <w:tcPr>
            <w:tcW w:w="9210" w:type="dxa"/>
            <w:shd w:val="clear" w:color="auto" w:fill="auto"/>
          </w:tcPr>
          <w:p w:rsidR="00A93E7A" w:rsidRDefault="00F14AD9" w:rsidP="008F778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Stuart Hall: Rassismus als ideologischer Diskurs</w:t>
            </w:r>
            <w:r w:rsidR="00FF1834">
              <w:rPr>
                <w:b/>
                <w:lang w:val="de-DE"/>
              </w:rPr>
              <w:t xml:space="preserve"> </w:t>
            </w:r>
            <w:r w:rsidR="00481A87">
              <w:rPr>
                <w:b/>
                <w:lang w:val="de-DE"/>
              </w:rPr>
              <w:t>(</w:t>
            </w:r>
            <w:r w:rsidR="00FF1834">
              <w:rPr>
                <w:b/>
                <w:lang w:val="de-DE"/>
              </w:rPr>
              <w:t>1</w:t>
            </w:r>
            <w:r w:rsidR="00481A87">
              <w:rPr>
                <w:b/>
                <w:lang w:val="de-DE"/>
              </w:rPr>
              <w:t>)</w:t>
            </w:r>
          </w:p>
          <w:p w:rsidR="002B20BC" w:rsidRPr="002B20BC" w:rsidRDefault="002B20BC" w:rsidP="002B20BC">
            <w:pPr>
              <w:rPr>
                <w:bCs/>
                <w:lang w:val="de-DE"/>
              </w:rPr>
            </w:pPr>
            <w:r>
              <w:rPr>
                <w:bCs/>
                <w:i/>
                <w:iCs/>
                <w:lang w:val="de-DE"/>
              </w:rPr>
              <w:t xml:space="preserve">Theorien der Kultur </w:t>
            </w:r>
            <w:r>
              <w:rPr>
                <w:bCs/>
                <w:lang w:val="de-DE"/>
              </w:rPr>
              <w:t>S. 55–63</w:t>
            </w:r>
          </w:p>
          <w:p w:rsidR="002B20BC" w:rsidRPr="00A93E7A" w:rsidRDefault="002B20BC" w:rsidP="008F7785">
            <w:pPr>
              <w:rPr>
                <w:iCs/>
                <w:lang w:val="de-DE"/>
              </w:rPr>
            </w:pPr>
          </w:p>
        </w:tc>
      </w:tr>
      <w:tr w:rsidR="00896BBE" w:rsidRPr="00310103" w:rsidTr="00F25BE9">
        <w:trPr>
          <w:trHeight w:val="564"/>
          <w:jc w:val="center"/>
        </w:trPr>
        <w:tc>
          <w:tcPr>
            <w:tcW w:w="1060" w:type="dxa"/>
            <w:shd w:val="clear" w:color="auto" w:fill="auto"/>
          </w:tcPr>
          <w:p w:rsidR="00896BBE" w:rsidRPr="00310103" w:rsidRDefault="007C5C33" w:rsidP="000474F8">
            <w:pPr>
              <w:jc w:val="center"/>
              <w:rPr>
                <w:lang w:val="de-DE"/>
              </w:rPr>
            </w:pPr>
            <w:r w:rsidRPr="00310103">
              <w:rPr>
                <w:lang w:val="de-DE"/>
              </w:rPr>
              <w:t>6</w:t>
            </w:r>
          </w:p>
        </w:tc>
        <w:tc>
          <w:tcPr>
            <w:tcW w:w="9210" w:type="dxa"/>
            <w:shd w:val="clear" w:color="auto" w:fill="auto"/>
          </w:tcPr>
          <w:p w:rsidR="00A93E7A" w:rsidRPr="00F14AD9" w:rsidRDefault="00F14AD9" w:rsidP="00F14AD9">
            <w:pPr>
              <w:rPr>
                <w:b/>
                <w:bCs/>
                <w:iCs/>
                <w:lang w:val="de-DE"/>
              </w:rPr>
            </w:pPr>
            <w:r w:rsidRPr="00F14AD9">
              <w:rPr>
                <w:b/>
                <w:bCs/>
                <w:iCs/>
                <w:lang w:val="de-DE"/>
              </w:rPr>
              <w:t>13. Oktober: Veranstaltung des Goethe Instituts</w:t>
            </w:r>
          </w:p>
        </w:tc>
      </w:tr>
      <w:tr w:rsidR="00896BBE" w:rsidRPr="00310103" w:rsidTr="00767617">
        <w:trPr>
          <w:trHeight w:val="848"/>
          <w:jc w:val="center"/>
        </w:trPr>
        <w:tc>
          <w:tcPr>
            <w:tcW w:w="1060" w:type="dxa"/>
            <w:shd w:val="clear" w:color="auto" w:fill="auto"/>
          </w:tcPr>
          <w:p w:rsidR="00896BBE" w:rsidRPr="00310103" w:rsidRDefault="007C5C33" w:rsidP="000474F8">
            <w:pPr>
              <w:jc w:val="center"/>
              <w:rPr>
                <w:lang w:val="de-DE"/>
              </w:rPr>
            </w:pPr>
            <w:r w:rsidRPr="00310103">
              <w:rPr>
                <w:lang w:val="de-DE"/>
              </w:rPr>
              <w:t>7</w:t>
            </w:r>
          </w:p>
        </w:tc>
        <w:tc>
          <w:tcPr>
            <w:tcW w:w="9210" w:type="dxa"/>
            <w:shd w:val="clear" w:color="auto" w:fill="auto"/>
          </w:tcPr>
          <w:p w:rsidR="00A93E7A" w:rsidRDefault="00F14AD9" w:rsidP="00AC2F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Gender Studies</w:t>
            </w:r>
            <w:r w:rsidR="00FF1834">
              <w:rPr>
                <w:b/>
                <w:lang w:val="de-DE"/>
              </w:rPr>
              <w:t xml:space="preserve"> </w:t>
            </w:r>
            <w:r w:rsidR="00481A87">
              <w:rPr>
                <w:b/>
                <w:lang w:val="de-DE"/>
              </w:rPr>
              <w:t>(</w:t>
            </w:r>
            <w:r w:rsidR="004420A2">
              <w:rPr>
                <w:b/>
                <w:lang w:val="de-DE"/>
              </w:rPr>
              <w:t>1</w:t>
            </w:r>
            <w:r w:rsidR="00481A87">
              <w:rPr>
                <w:b/>
                <w:lang w:val="de-DE"/>
              </w:rPr>
              <w:t>)</w:t>
            </w:r>
          </w:p>
          <w:p w:rsidR="009E092B" w:rsidRPr="009E092B" w:rsidRDefault="009E092B" w:rsidP="00AC2FDB">
            <w:r>
              <w:rPr>
                <w:i/>
                <w:iCs/>
                <w:lang w:val="de-DE"/>
              </w:rPr>
              <w:t xml:space="preserve">Einführung in die Kulturwissenschaften </w:t>
            </w:r>
            <w:r>
              <w:rPr>
                <w:lang w:val="de-DE"/>
              </w:rPr>
              <w:t>S. 329–345</w:t>
            </w:r>
          </w:p>
          <w:p w:rsidR="002B20BC" w:rsidRPr="002B20BC" w:rsidRDefault="002B20BC" w:rsidP="00AC2FDB">
            <w:pPr>
              <w:rPr>
                <w:iCs/>
                <w:lang w:val="de-DE"/>
              </w:rPr>
            </w:pPr>
          </w:p>
        </w:tc>
      </w:tr>
      <w:tr w:rsidR="00896BBE" w:rsidRPr="00310103" w:rsidTr="00F25BE9">
        <w:trPr>
          <w:trHeight w:val="267"/>
          <w:jc w:val="center"/>
        </w:trPr>
        <w:tc>
          <w:tcPr>
            <w:tcW w:w="1060" w:type="dxa"/>
            <w:shd w:val="clear" w:color="auto" w:fill="auto"/>
          </w:tcPr>
          <w:p w:rsidR="00896BBE" w:rsidRPr="00310103" w:rsidRDefault="007C5C33" w:rsidP="000474F8">
            <w:pPr>
              <w:jc w:val="center"/>
              <w:rPr>
                <w:lang w:val="de-DE"/>
              </w:rPr>
            </w:pPr>
            <w:r w:rsidRPr="00310103">
              <w:rPr>
                <w:lang w:val="de-DE"/>
              </w:rPr>
              <w:t>8</w:t>
            </w:r>
          </w:p>
        </w:tc>
        <w:tc>
          <w:tcPr>
            <w:tcW w:w="9210" w:type="dxa"/>
            <w:shd w:val="clear" w:color="auto" w:fill="auto"/>
          </w:tcPr>
          <w:p w:rsidR="00896BBE" w:rsidRDefault="00F14AD9" w:rsidP="00AC2FDB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Simone de Beauvoir: Das andere Geschlecht</w:t>
            </w:r>
            <w:r w:rsidR="00FF1834">
              <w:rPr>
                <w:b/>
                <w:bCs/>
                <w:lang w:val="de-DE"/>
              </w:rPr>
              <w:t xml:space="preserve"> </w:t>
            </w:r>
            <w:r w:rsidR="00481A87">
              <w:rPr>
                <w:b/>
                <w:bCs/>
                <w:lang w:val="de-DE"/>
              </w:rPr>
              <w:t>(</w:t>
            </w:r>
            <w:r w:rsidR="00FF1834">
              <w:rPr>
                <w:b/>
                <w:bCs/>
                <w:lang w:val="de-DE"/>
              </w:rPr>
              <w:t>2</w:t>
            </w:r>
            <w:r w:rsidR="00481A87">
              <w:rPr>
                <w:b/>
                <w:bCs/>
                <w:lang w:val="de-DE"/>
              </w:rPr>
              <w:t>)</w:t>
            </w:r>
          </w:p>
          <w:p w:rsidR="00767617" w:rsidRPr="002B20BC" w:rsidRDefault="002B20BC" w:rsidP="00AC2FDB">
            <w:pPr>
              <w:rPr>
                <w:bCs/>
                <w:lang w:val="de-DE"/>
              </w:rPr>
            </w:pPr>
            <w:r>
              <w:rPr>
                <w:bCs/>
                <w:i/>
                <w:iCs/>
                <w:lang w:val="de-DE"/>
              </w:rPr>
              <w:t xml:space="preserve">Theorien der Kultur </w:t>
            </w:r>
            <w:r>
              <w:rPr>
                <w:bCs/>
                <w:lang w:val="de-DE"/>
              </w:rPr>
              <w:t>S. 66–83</w:t>
            </w:r>
          </w:p>
          <w:p w:rsidR="00767617" w:rsidRPr="00F25BE9" w:rsidRDefault="00767617" w:rsidP="00AC2FDB">
            <w:pPr>
              <w:rPr>
                <w:b/>
                <w:bCs/>
                <w:lang w:val="de-DE"/>
              </w:rPr>
            </w:pPr>
          </w:p>
        </w:tc>
      </w:tr>
      <w:tr w:rsidR="00A93E7A" w:rsidRPr="00310103" w:rsidTr="00F25BE9">
        <w:trPr>
          <w:trHeight w:val="280"/>
          <w:jc w:val="center"/>
        </w:trPr>
        <w:tc>
          <w:tcPr>
            <w:tcW w:w="1060" w:type="dxa"/>
            <w:shd w:val="clear" w:color="auto" w:fill="auto"/>
          </w:tcPr>
          <w:p w:rsidR="00A93E7A" w:rsidRPr="00310103" w:rsidRDefault="00A93E7A" w:rsidP="000474F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9210" w:type="dxa"/>
            <w:shd w:val="clear" w:color="auto" w:fill="auto"/>
          </w:tcPr>
          <w:p w:rsidR="00A93E7A" w:rsidRPr="00F25BE9" w:rsidRDefault="00F14AD9" w:rsidP="00AC2FDB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Konsultationswoche</w:t>
            </w:r>
          </w:p>
        </w:tc>
      </w:tr>
      <w:tr w:rsidR="00896BBE" w:rsidRPr="00310103" w:rsidTr="00767617">
        <w:trPr>
          <w:trHeight w:val="848"/>
          <w:jc w:val="center"/>
        </w:trPr>
        <w:tc>
          <w:tcPr>
            <w:tcW w:w="1060" w:type="dxa"/>
            <w:shd w:val="clear" w:color="auto" w:fill="auto"/>
          </w:tcPr>
          <w:p w:rsidR="00896BBE" w:rsidRPr="00310103" w:rsidRDefault="00A93E7A" w:rsidP="000474F8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lastRenderedPageBreak/>
              <w:t>10</w:t>
            </w:r>
          </w:p>
        </w:tc>
        <w:tc>
          <w:tcPr>
            <w:tcW w:w="9210" w:type="dxa"/>
            <w:shd w:val="clear" w:color="auto" w:fill="auto"/>
          </w:tcPr>
          <w:p w:rsidR="002B20BC" w:rsidRDefault="00F14AD9" w:rsidP="002B20B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Fremdheitsforschungen</w:t>
            </w:r>
            <w:r w:rsidR="00FF1834">
              <w:rPr>
                <w:b/>
                <w:lang w:val="de-DE"/>
              </w:rPr>
              <w:t xml:space="preserve"> </w:t>
            </w:r>
            <w:r w:rsidR="00481A87">
              <w:rPr>
                <w:b/>
                <w:lang w:val="de-DE"/>
              </w:rPr>
              <w:t>(</w:t>
            </w:r>
            <w:r w:rsidR="00FF1834">
              <w:rPr>
                <w:b/>
                <w:lang w:val="de-DE"/>
              </w:rPr>
              <w:t>2</w:t>
            </w:r>
            <w:r w:rsidR="00481A87">
              <w:rPr>
                <w:b/>
                <w:lang w:val="de-DE"/>
              </w:rPr>
              <w:t>)</w:t>
            </w:r>
          </w:p>
          <w:p w:rsidR="00AC0059" w:rsidRPr="00AC0059" w:rsidRDefault="00AC0059" w:rsidP="002B20BC">
            <w:pPr>
              <w:rPr>
                <w:b/>
                <w:lang w:val="de-DE"/>
              </w:rPr>
            </w:pPr>
            <w:r>
              <w:rPr>
                <w:i/>
                <w:iCs/>
                <w:lang w:val="de-DE"/>
              </w:rPr>
              <w:t xml:space="preserve">Einführung in die Kulturwissenschaften </w:t>
            </w:r>
            <w:r>
              <w:rPr>
                <w:lang w:val="de-DE"/>
              </w:rPr>
              <w:t>S. 280–294</w:t>
            </w:r>
          </w:p>
        </w:tc>
      </w:tr>
      <w:tr w:rsidR="00896BBE" w:rsidRPr="00310103" w:rsidTr="00767617">
        <w:trPr>
          <w:trHeight w:val="711"/>
          <w:jc w:val="center"/>
        </w:trPr>
        <w:tc>
          <w:tcPr>
            <w:tcW w:w="1060" w:type="dxa"/>
            <w:shd w:val="clear" w:color="auto" w:fill="auto"/>
          </w:tcPr>
          <w:p w:rsidR="00896BBE" w:rsidRPr="00310103" w:rsidRDefault="007C5C33" w:rsidP="000474F8">
            <w:pPr>
              <w:jc w:val="center"/>
              <w:rPr>
                <w:lang w:val="de-DE"/>
              </w:rPr>
            </w:pPr>
            <w:r w:rsidRPr="00310103">
              <w:rPr>
                <w:lang w:val="de-DE"/>
              </w:rPr>
              <w:t>1</w:t>
            </w:r>
            <w:r w:rsidR="00A93E7A">
              <w:rPr>
                <w:lang w:val="de-DE"/>
              </w:rPr>
              <w:t>1</w:t>
            </w:r>
          </w:p>
        </w:tc>
        <w:tc>
          <w:tcPr>
            <w:tcW w:w="9210" w:type="dxa"/>
            <w:shd w:val="clear" w:color="auto" w:fill="auto"/>
          </w:tcPr>
          <w:p w:rsidR="007D35FE" w:rsidRDefault="00F14AD9" w:rsidP="00AC2F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Bernhard Waldenfels: Das Eigene und das Fremde</w:t>
            </w:r>
            <w:r w:rsidR="00FF1834">
              <w:rPr>
                <w:b/>
                <w:lang w:val="de-DE"/>
              </w:rPr>
              <w:t xml:space="preserve"> </w:t>
            </w:r>
            <w:r w:rsidR="00AC0059">
              <w:rPr>
                <w:b/>
                <w:lang w:val="de-DE"/>
              </w:rPr>
              <w:t>(</w:t>
            </w:r>
            <w:r w:rsidR="00FF1834">
              <w:rPr>
                <w:b/>
                <w:lang w:val="de-DE"/>
              </w:rPr>
              <w:t>1</w:t>
            </w:r>
            <w:r w:rsidR="00AC0059">
              <w:rPr>
                <w:b/>
                <w:lang w:val="de-DE"/>
              </w:rPr>
              <w:t>)</w:t>
            </w:r>
          </w:p>
          <w:p w:rsidR="002B20BC" w:rsidRPr="002B20BC" w:rsidRDefault="002B20BC" w:rsidP="00AC2FDB">
            <w:pPr>
              <w:rPr>
                <w:bCs/>
                <w:lang w:val="de-DE"/>
              </w:rPr>
            </w:pPr>
            <w:r>
              <w:rPr>
                <w:bCs/>
                <w:i/>
                <w:iCs/>
                <w:lang w:val="de-DE"/>
              </w:rPr>
              <w:t xml:space="preserve">Theorien der Kultur </w:t>
            </w:r>
            <w:r>
              <w:rPr>
                <w:bCs/>
                <w:lang w:val="de-DE"/>
              </w:rPr>
              <w:t>S. 128–137</w:t>
            </w:r>
          </w:p>
        </w:tc>
      </w:tr>
      <w:tr w:rsidR="00896BBE" w:rsidRPr="00310103" w:rsidTr="00767617">
        <w:trPr>
          <w:trHeight w:val="718"/>
          <w:jc w:val="center"/>
        </w:trPr>
        <w:tc>
          <w:tcPr>
            <w:tcW w:w="1060" w:type="dxa"/>
            <w:shd w:val="clear" w:color="auto" w:fill="auto"/>
          </w:tcPr>
          <w:p w:rsidR="00896BBE" w:rsidRPr="00310103" w:rsidRDefault="00896BBE" w:rsidP="000474F8">
            <w:pPr>
              <w:jc w:val="center"/>
              <w:rPr>
                <w:lang w:val="de-DE"/>
              </w:rPr>
            </w:pPr>
            <w:r w:rsidRPr="00310103">
              <w:rPr>
                <w:lang w:val="de-DE"/>
              </w:rPr>
              <w:t>1</w:t>
            </w:r>
            <w:r w:rsidR="00A93E7A">
              <w:rPr>
                <w:lang w:val="de-DE"/>
              </w:rPr>
              <w:t>2</w:t>
            </w:r>
          </w:p>
        </w:tc>
        <w:tc>
          <w:tcPr>
            <w:tcW w:w="9210" w:type="dxa"/>
            <w:shd w:val="clear" w:color="auto" w:fill="auto"/>
          </w:tcPr>
          <w:p w:rsidR="00A93E7A" w:rsidRDefault="00F14AD9" w:rsidP="00AC2FD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Klausur</w:t>
            </w:r>
          </w:p>
          <w:p w:rsidR="00767617" w:rsidRPr="00767617" w:rsidRDefault="00767617" w:rsidP="00767617">
            <w:pPr>
              <w:rPr>
                <w:lang w:val="de-DE"/>
              </w:rPr>
            </w:pPr>
          </w:p>
        </w:tc>
      </w:tr>
      <w:tr w:rsidR="00896BBE" w:rsidRPr="00310103" w:rsidTr="00F25BE9">
        <w:trPr>
          <w:trHeight w:val="280"/>
          <w:jc w:val="center"/>
        </w:trPr>
        <w:tc>
          <w:tcPr>
            <w:tcW w:w="1060" w:type="dxa"/>
            <w:shd w:val="clear" w:color="auto" w:fill="auto"/>
          </w:tcPr>
          <w:p w:rsidR="00896BBE" w:rsidRPr="00310103" w:rsidRDefault="00896BBE" w:rsidP="000474F8">
            <w:pPr>
              <w:jc w:val="center"/>
              <w:rPr>
                <w:lang w:val="de-DE"/>
              </w:rPr>
            </w:pPr>
            <w:r w:rsidRPr="00310103">
              <w:rPr>
                <w:lang w:val="de-DE"/>
              </w:rPr>
              <w:t>1</w:t>
            </w:r>
            <w:r w:rsidR="00A93E7A">
              <w:rPr>
                <w:lang w:val="de-DE"/>
              </w:rPr>
              <w:t>3</w:t>
            </w:r>
          </w:p>
        </w:tc>
        <w:tc>
          <w:tcPr>
            <w:tcW w:w="9210" w:type="dxa"/>
            <w:shd w:val="clear" w:color="auto" w:fill="auto"/>
          </w:tcPr>
          <w:p w:rsidR="007C5C33" w:rsidRPr="00310103" w:rsidRDefault="00F14AD9" w:rsidP="00AC2FDB">
            <w:pPr>
              <w:rPr>
                <w:i/>
                <w:lang w:val="de-DE"/>
              </w:rPr>
            </w:pPr>
            <w:r w:rsidRPr="00CD4E42">
              <w:rPr>
                <w:b/>
                <w:bCs/>
                <w:lang w:val="de-DE"/>
              </w:rPr>
              <w:t>Bewertung des Semesters</w:t>
            </w:r>
          </w:p>
        </w:tc>
      </w:tr>
    </w:tbl>
    <w:p w:rsidR="00AC2FDB" w:rsidRPr="00310103" w:rsidRDefault="00AC2FDB" w:rsidP="00AC2FDB">
      <w:pPr>
        <w:rPr>
          <w:bCs/>
          <w:iCs/>
          <w:lang w:val="de-DE"/>
        </w:rPr>
      </w:pPr>
    </w:p>
    <w:p w:rsidR="00AC2FDB" w:rsidRPr="00310103" w:rsidRDefault="00AC2FDB" w:rsidP="00AC2FDB">
      <w:pPr>
        <w:rPr>
          <w:lang w:val="de-DE"/>
        </w:rPr>
      </w:pPr>
    </w:p>
    <w:p w:rsidR="00AC2FDB" w:rsidRPr="00310103" w:rsidRDefault="00AC2FDB" w:rsidP="00310103">
      <w:pPr>
        <w:shd w:val="clear" w:color="auto" w:fill="BFBFBF" w:themeFill="background1" w:themeFillShade="BF"/>
        <w:rPr>
          <w:b/>
          <w:bCs/>
          <w:sz w:val="26"/>
          <w:szCs w:val="26"/>
          <w:lang w:val="de-DE"/>
        </w:rPr>
      </w:pPr>
      <w:r w:rsidRPr="00310103">
        <w:rPr>
          <w:b/>
          <w:bCs/>
          <w:sz w:val="26"/>
          <w:szCs w:val="26"/>
          <w:lang w:val="de-DE"/>
        </w:rPr>
        <w:t>Pflichtlektüre</w:t>
      </w:r>
    </w:p>
    <w:p w:rsidR="00310103" w:rsidRPr="00310103" w:rsidRDefault="00310103" w:rsidP="00AC2FDB">
      <w:pPr>
        <w:rPr>
          <w:b/>
          <w:bCs/>
          <w:lang w:val="de-DE"/>
        </w:rPr>
      </w:pPr>
    </w:p>
    <w:p w:rsidR="00F25BE9" w:rsidRDefault="002B20BC" w:rsidP="00F25BE9">
      <w:pPr>
        <w:pStyle w:val="Listaszerbekezds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 xml:space="preserve">Anett </w:t>
      </w:r>
      <w:proofErr w:type="spellStart"/>
      <w:r>
        <w:rPr>
          <w:lang w:val="de-DE"/>
        </w:rPr>
        <w:t>Csorba</w:t>
      </w:r>
      <w:proofErr w:type="spellEnd"/>
      <w:r>
        <w:rPr>
          <w:lang w:val="de-DE"/>
        </w:rPr>
        <w:t xml:space="preserve">, Tibor </w:t>
      </w:r>
      <w:proofErr w:type="spellStart"/>
      <w:r>
        <w:rPr>
          <w:lang w:val="de-DE"/>
        </w:rPr>
        <w:t>Dobis</w:t>
      </w:r>
      <w:proofErr w:type="spellEnd"/>
      <w:r>
        <w:rPr>
          <w:lang w:val="de-DE"/>
        </w:rPr>
        <w:t>, Andrea Horváth, Elisa Müller-Adams (</w:t>
      </w:r>
      <w:proofErr w:type="spellStart"/>
      <w:r>
        <w:rPr>
          <w:lang w:val="de-DE"/>
        </w:rPr>
        <w:t>Hg</w:t>
      </w:r>
      <w:proofErr w:type="spellEnd"/>
      <w:r>
        <w:rPr>
          <w:lang w:val="de-DE"/>
        </w:rPr>
        <w:t xml:space="preserve">.): </w:t>
      </w:r>
      <w:r>
        <w:rPr>
          <w:i/>
          <w:iCs/>
          <w:lang w:val="de-DE"/>
        </w:rPr>
        <w:t>Theorien der Kultur. Ein kulturwissenschaftliches Studienbuch</w:t>
      </w:r>
      <w:r>
        <w:rPr>
          <w:lang w:val="de-DE"/>
        </w:rPr>
        <w:t>. Debrecen: Debrecen University Press, 2016.</w:t>
      </w:r>
    </w:p>
    <w:p w:rsidR="002B20BC" w:rsidRPr="00F25BE9" w:rsidRDefault="002B20BC" w:rsidP="00F25BE9">
      <w:pPr>
        <w:pStyle w:val="Listaszerbekezds"/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 xml:space="preserve">Ansgar </w:t>
      </w:r>
      <w:proofErr w:type="spellStart"/>
      <w:r>
        <w:rPr>
          <w:lang w:val="de-DE"/>
        </w:rPr>
        <w:t>Nünning</w:t>
      </w:r>
      <w:proofErr w:type="spellEnd"/>
      <w:r>
        <w:rPr>
          <w:lang w:val="de-DE"/>
        </w:rPr>
        <w:t xml:space="preserve">, Vera </w:t>
      </w:r>
      <w:proofErr w:type="spellStart"/>
      <w:r>
        <w:rPr>
          <w:lang w:val="de-DE"/>
        </w:rPr>
        <w:t>Nünning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Hg</w:t>
      </w:r>
      <w:proofErr w:type="spellEnd"/>
      <w:r>
        <w:rPr>
          <w:lang w:val="de-DE"/>
        </w:rPr>
        <w:t xml:space="preserve">): </w:t>
      </w:r>
      <w:r>
        <w:rPr>
          <w:i/>
          <w:iCs/>
          <w:lang w:val="de-DE"/>
        </w:rPr>
        <w:t>Einführung in die Kulturwissenschaften</w:t>
      </w:r>
      <w:r>
        <w:rPr>
          <w:lang w:val="de-DE"/>
        </w:rPr>
        <w:t>. Stuttgart, Weimar: Metzler, 2008.</w:t>
      </w:r>
    </w:p>
    <w:p w:rsidR="00AC2FDB" w:rsidRPr="00310103" w:rsidRDefault="00AC2FDB" w:rsidP="00AC2FDB">
      <w:pPr>
        <w:rPr>
          <w:lang w:val="de-DE"/>
        </w:rPr>
      </w:pPr>
    </w:p>
    <w:p w:rsidR="00AC2FDB" w:rsidRPr="00310103" w:rsidRDefault="00AC2FDB" w:rsidP="00AC2FDB">
      <w:pPr>
        <w:rPr>
          <w:lang w:val="de-DE"/>
        </w:rPr>
      </w:pPr>
    </w:p>
    <w:p w:rsidR="00AC2FDB" w:rsidRPr="00310103" w:rsidRDefault="00AC2FDB" w:rsidP="00310103">
      <w:pPr>
        <w:shd w:val="clear" w:color="auto" w:fill="BFBFBF" w:themeFill="background1" w:themeFillShade="BF"/>
        <w:rPr>
          <w:b/>
          <w:iCs/>
          <w:sz w:val="26"/>
          <w:szCs w:val="26"/>
          <w:lang w:val="de-DE"/>
        </w:rPr>
      </w:pPr>
      <w:r w:rsidRPr="00310103">
        <w:rPr>
          <w:b/>
          <w:iCs/>
          <w:sz w:val="26"/>
          <w:szCs w:val="26"/>
          <w:shd w:val="clear" w:color="auto" w:fill="BFBFBF" w:themeFill="background1" w:themeFillShade="BF"/>
          <w:lang w:val="de-DE"/>
        </w:rPr>
        <w:t>Bewertung der Lehrveranstaltung</w:t>
      </w:r>
      <w:r w:rsidR="00896BBE" w:rsidRPr="00310103">
        <w:rPr>
          <w:b/>
          <w:iCs/>
          <w:sz w:val="26"/>
          <w:szCs w:val="26"/>
          <w:shd w:val="clear" w:color="auto" w:fill="BFBFBF" w:themeFill="background1" w:themeFillShade="BF"/>
          <w:lang w:val="de-DE"/>
        </w:rPr>
        <w:t>:</w:t>
      </w:r>
    </w:p>
    <w:p w:rsidR="00AC2FDB" w:rsidRPr="00310103" w:rsidRDefault="00AC2FDB" w:rsidP="00AC2FDB">
      <w:pPr>
        <w:rPr>
          <w:lang w:val="de-DE"/>
        </w:rPr>
      </w:pPr>
    </w:p>
    <w:p w:rsidR="00A32CB8" w:rsidRDefault="002B20BC" w:rsidP="002B20BC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Klausur</w:t>
      </w:r>
    </w:p>
    <w:p w:rsidR="002B20BC" w:rsidRDefault="002B20BC" w:rsidP="002B20BC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Impulsreferat</w:t>
      </w:r>
    </w:p>
    <w:p w:rsidR="002B20BC" w:rsidRPr="002B20BC" w:rsidRDefault="002B20BC" w:rsidP="002B20BC">
      <w:pPr>
        <w:pStyle w:val="Listaszerbekezds"/>
        <w:numPr>
          <w:ilvl w:val="0"/>
          <w:numId w:val="4"/>
        </w:numPr>
        <w:rPr>
          <w:lang w:val="de-DE"/>
        </w:rPr>
      </w:pPr>
      <w:r>
        <w:rPr>
          <w:lang w:val="de-DE"/>
        </w:rPr>
        <w:t>aktive Mitarbeit</w:t>
      </w:r>
    </w:p>
    <w:sectPr w:rsidR="002B20BC" w:rsidRPr="002B20BC" w:rsidSect="00F25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5C3"/>
    <w:multiLevelType w:val="hybridMultilevel"/>
    <w:tmpl w:val="4BFC7F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B3536"/>
    <w:multiLevelType w:val="hybridMultilevel"/>
    <w:tmpl w:val="1A6858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92A8B"/>
    <w:multiLevelType w:val="hybridMultilevel"/>
    <w:tmpl w:val="94D07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B646A"/>
    <w:multiLevelType w:val="hybridMultilevel"/>
    <w:tmpl w:val="58FE5B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stylePaneFormatFilter w:val="3F01"/>
  <w:defaultTabStop w:val="708"/>
  <w:hyphenationZone w:val="425"/>
  <w:characterSpacingControl w:val="doNotCompress"/>
  <w:compat/>
  <w:rsids>
    <w:rsidRoot w:val="00AC2FDB"/>
    <w:rsid w:val="000474F8"/>
    <w:rsid w:val="000F7D9E"/>
    <w:rsid w:val="001045EF"/>
    <w:rsid w:val="00243208"/>
    <w:rsid w:val="00264023"/>
    <w:rsid w:val="00281A0D"/>
    <w:rsid w:val="00284EEF"/>
    <w:rsid w:val="002869D1"/>
    <w:rsid w:val="002B20BC"/>
    <w:rsid w:val="003076A2"/>
    <w:rsid w:val="00310103"/>
    <w:rsid w:val="003435A4"/>
    <w:rsid w:val="00374BFB"/>
    <w:rsid w:val="003B7FC5"/>
    <w:rsid w:val="004420A2"/>
    <w:rsid w:val="00481A87"/>
    <w:rsid w:val="004D2791"/>
    <w:rsid w:val="0053428D"/>
    <w:rsid w:val="00563888"/>
    <w:rsid w:val="0062318D"/>
    <w:rsid w:val="00693E15"/>
    <w:rsid w:val="006A0043"/>
    <w:rsid w:val="00702705"/>
    <w:rsid w:val="00767617"/>
    <w:rsid w:val="007C5C33"/>
    <w:rsid w:val="007D35FE"/>
    <w:rsid w:val="007F76E8"/>
    <w:rsid w:val="00896BBE"/>
    <w:rsid w:val="008A15C9"/>
    <w:rsid w:val="008F76C5"/>
    <w:rsid w:val="008F7785"/>
    <w:rsid w:val="00975DCB"/>
    <w:rsid w:val="009E092B"/>
    <w:rsid w:val="00A32CB8"/>
    <w:rsid w:val="00A44494"/>
    <w:rsid w:val="00A93E7A"/>
    <w:rsid w:val="00AA1EE3"/>
    <w:rsid w:val="00AC0059"/>
    <w:rsid w:val="00AC2FDB"/>
    <w:rsid w:val="00B0196E"/>
    <w:rsid w:val="00B17456"/>
    <w:rsid w:val="00BE6158"/>
    <w:rsid w:val="00C103C5"/>
    <w:rsid w:val="00CB1521"/>
    <w:rsid w:val="00CD4E42"/>
    <w:rsid w:val="00DD1210"/>
    <w:rsid w:val="00E00A3D"/>
    <w:rsid w:val="00E8489F"/>
    <w:rsid w:val="00F14AD9"/>
    <w:rsid w:val="00F25BE9"/>
    <w:rsid w:val="00FF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2FDB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C2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10103"/>
    <w:pPr>
      <w:ind w:left="720"/>
      <w:contextualSpacing/>
    </w:pPr>
  </w:style>
  <w:style w:type="character" w:styleId="Hiperhivatkozs">
    <w:name w:val="Hyperlink"/>
    <w:basedOn w:val="Bekezdsalapbettpusa"/>
    <w:unhideWhenUsed/>
    <w:rsid w:val="002B20BC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B20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Beschreibung der Lehrveranstaltung</vt:lpstr>
      <vt:lpstr>Beschreibung der Lehrveranstaltung </vt:lpstr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der Lehrveranstaltung</dc:title>
  <dc:creator>Szilagyi Katalin</dc:creator>
  <cp:lastModifiedBy>user</cp:lastModifiedBy>
  <cp:revision>2</cp:revision>
  <dcterms:created xsi:type="dcterms:W3CDTF">2021-11-10T11:05:00Z</dcterms:created>
  <dcterms:modified xsi:type="dcterms:W3CDTF">2021-11-10T11:05:00Z</dcterms:modified>
</cp:coreProperties>
</file>