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58" w:rsidRPr="00D940A3" w:rsidRDefault="00CD7D58" w:rsidP="00CD7D58">
      <w:pPr>
        <w:spacing w:after="200" w:line="276" w:lineRule="auto"/>
        <w:rPr>
          <w:color w:val="333399"/>
          <w:sz w:val="12"/>
          <w:szCs w:val="12"/>
        </w:rPr>
      </w:pPr>
    </w:p>
    <w:p w:rsidR="00CD7D58" w:rsidRPr="00D940A3" w:rsidRDefault="00CD7D58" w:rsidP="00CD7D58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7"/>
        <w:gridCol w:w="2231"/>
      </w:tblGrid>
      <w:tr w:rsidR="00CD7D58" w:rsidRPr="00D940A3" w:rsidTr="00554D8E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7D58" w:rsidRPr="00D940A3" w:rsidRDefault="00CD7D58" w:rsidP="00554D8E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(1.) Tantárgy </w:t>
            </w:r>
            <w:r w:rsidRPr="00D940A3">
              <w:rPr>
                <w:sz w:val="22"/>
                <w:szCs w:val="22"/>
              </w:rPr>
              <w:t>neve:</w:t>
            </w:r>
            <w:r w:rsidRPr="00D940A3">
              <w:rPr>
                <w:b/>
                <w:sz w:val="22"/>
                <w:szCs w:val="22"/>
              </w:rPr>
              <w:t xml:space="preserve"> Irodalom és más médiumok 1-2.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7D58" w:rsidRPr="00D940A3" w:rsidRDefault="00CD7D58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Kreditértéke: 2+2</w:t>
            </w:r>
          </w:p>
        </w:tc>
      </w:tr>
      <w:tr w:rsidR="00CD7D58" w:rsidRPr="00D940A3" w:rsidTr="00554D8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7D58" w:rsidRPr="00D940A3" w:rsidRDefault="00CD7D58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tantárgy </w:t>
            </w:r>
            <w:r w:rsidRPr="00D940A3">
              <w:rPr>
                <w:b/>
                <w:sz w:val="22"/>
                <w:szCs w:val="22"/>
              </w:rPr>
              <w:t>besorolása</w:t>
            </w:r>
            <w:proofErr w:type="gramStart"/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 választható</w:t>
            </w:r>
            <w:proofErr w:type="gramEnd"/>
          </w:p>
        </w:tc>
      </w:tr>
      <w:tr w:rsidR="00CD7D58" w:rsidRPr="00D940A3" w:rsidTr="00554D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7D58" w:rsidRPr="00D940A3" w:rsidRDefault="00CD7D58" w:rsidP="00554D8E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D940A3">
              <w:rPr>
                <w:b/>
                <w:bdr w:val="dotted" w:sz="4" w:space="0" w:color="auto"/>
                <w:vertAlign w:val="superscript"/>
              </w:rPr>
              <w:t>12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100% </w:t>
            </w:r>
            <w:proofErr w:type="spellStart"/>
            <w:r w:rsidRPr="00D940A3">
              <w:rPr>
                <w:b/>
                <w:sz w:val="22"/>
                <w:szCs w:val="22"/>
              </w:rPr>
              <w:t>gyak</w:t>
            </w:r>
            <w:proofErr w:type="spellEnd"/>
            <w:r w:rsidRPr="00D940A3">
              <w:rPr>
                <w:b/>
                <w:sz w:val="22"/>
                <w:szCs w:val="22"/>
              </w:rPr>
              <w:t xml:space="preserve">. </w:t>
            </w:r>
            <w:r w:rsidRPr="00D940A3">
              <w:rPr>
                <w:sz w:val="22"/>
                <w:szCs w:val="22"/>
              </w:rPr>
              <w:t>(</w:t>
            </w:r>
            <w:proofErr w:type="spellStart"/>
            <w:r w:rsidRPr="00D940A3">
              <w:rPr>
                <w:sz w:val="22"/>
                <w:szCs w:val="22"/>
              </w:rPr>
              <w:t>kredit%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</w:p>
        </w:tc>
      </w:tr>
      <w:tr w:rsidR="00CD7D58" w:rsidRPr="00D940A3" w:rsidTr="00554D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7D58" w:rsidRPr="00D940A3" w:rsidRDefault="00CD7D58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D940A3">
              <w:rPr>
                <w:b/>
                <w:sz w:val="22"/>
                <w:szCs w:val="22"/>
              </w:rPr>
              <w:t xml:space="preserve"> típusa</w:t>
            </w:r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ea</w:t>
            </w:r>
            <w:proofErr w:type="spellEnd"/>
            <w:r w:rsidRPr="00D940A3">
              <w:rPr>
                <w:sz w:val="22"/>
                <w:szCs w:val="22"/>
              </w:rPr>
              <w:t xml:space="preserve">. / szem. / </w:t>
            </w:r>
            <w:proofErr w:type="spellStart"/>
            <w:r w:rsidRPr="00D940A3">
              <w:rPr>
                <w:sz w:val="22"/>
                <w:szCs w:val="22"/>
                <w:u w:val="single"/>
              </w:rPr>
              <w:t>gyak</w:t>
            </w:r>
            <w:proofErr w:type="spellEnd"/>
            <w:r w:rsidRPr="00D940A3">
              <w:rPr>
                <w:sz w:val="22"/>
                <w:szCs w:val="22"/>
                <w:u w:val="single"/>
              </w:rPr>
              <w:t>.</w:t>
            </w:r>
            <w:r w:rsidRPr="00D940A3">
              <w:rPr>
                <w:sz w:val="22"/>
                <w:szCs w:val="22"/>
              </w:rPr>
              <w:t xml:space="preserve"> / </w:t>
            </w:r>
            <w:proofErr w:type="spellStart"/>
            <w:r w:rsidRPr="00D940A3">
              <w:rPr>
                <w:sz w:val="22"/>
                <w:szCs w:val="22"/>
              </w:rPr>
              <w:t>konz</w:t>
            </w:r>
            <w:proofErr w:type="spellEnd"/>
            <w:r w:rsidRPr="00D940A3">
              <w:rPr>
                <w:sz w:val="22"/>
                <w:szCs w:val="22"/>
              </w:rPr>
              <w:t xml:space="preserve">. és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>: 2</w:t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 xml:space="preserve">az adott </w:t>
            </w:r>
            <w:r w:rsidRPr="00D940A3">
              <w:rPr>
                <w:b/>
                <w:sz w:val="22"/>
                <w:szCs w:val="22"/>
              </w:rPr>
              <w:t>félévben</w:t>
            </w:r>
            <w:r w:rsidRPr="00D940A3">
              <w:rPr>
                <w:sz w:val="22"/>
                <w:szCs w:val="22"/>
              </w:rPr>
              <w:t>,</w:t>
            </w:r>
          </w:p>
          <w:p w:rsidR="00CD7D58" w:rsidRPr="00D940A3" w:rsidRDefault="00CD7D58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D940A3">
              <w:rPr>
                <w:b/>
                <w:i/>
                <w:sz w:val="22"/>
                <w:szCs w:val="22"/>
              </w:rPr>
              <w:t>nyelve</w:t>
            </w:r>
            <w:r w:rsidRPr="00D940A3">
              <w:rPr>
                <w:i/>
                <w:sz w:val="22"/>
                <w:szCs w:val="22"/>
              </w:rPr>
              <w:t>: német</w:t>
            </w:r>
          </w:p>
          <w:p w:rsidR="00CD7D58" w:rsidRPr="00D940A3" w:rsidRDefault="00CD7D58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adott ismeret átadásában alkalmazandó </w:t>
            </w:r>
            <w:r w:rsidRPr="00D940A3">
              <w:rPr>
                <w:b/>
                <w:sz w:val="22"/>
                <w:szCs w:val="22"/>
              </w:rPr>
              <w:t>további</w:t>
            </w:r>
            <w:r w:rsidRPr="00D940A3">
              <w:rPr>
                <w:sz w:val="22"/>
                <w:szCs w:val="22"/>
              </w:rPr>
              <w:t xml:space="preserve"> 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módok, jellemzők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D940A3">
              <w:rPr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sz w:val="22"/>
                <w:szCs w:val="22"/>
              </w:rPr>
              <w:t>: 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  <w:tr w:rsidR="00CD7D58" w:rsidRPr="00D940A3" w:rsidTr="00554D8E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7D58" w:rsidRPr="00D940A3" w:rsidRDefault="00CD7D58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>módja (</w:t>
            </w:r>
            <w:proofErr w:type="spellStart"/>
            <w:r w:rsidRPr="00D940A3">
              <w:rPr>
                <w:sz w:val="22"/>
                <w:szCs w:val="22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gramStart"/>
            <w:r w:rsidRPr="00D940A3">
              <w:rPr>
                <w:b/>
                <w:sz w:val="22"/>
                <w:szCs w:val="22"/>
              </w:rPr>
              <w:t>egyéb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D940A3">
              <w:rPr>
                <w:b/>
                <w:sz w:val="22"/>
                <w:szCs w:val="22"/>
              </w:rPr>
              <w:t>)</w:t>
            </w:r>
            <w:proofErr w:type="gramEnd"/>
            <w:r w:rsidRPr="00D940A3">
              <w:rPr>
                <w:sz w:val="22"/>
                <w:szCs w:val="22"/>
              </w:rPr>
              <w:t>: gyakorlati jegy</w:t>
            </w:r>
          </w:p>
          <w:p w:rsidR="00CD7D58" w:rsidRPr="00D940A3" w:rsidRDefault="00CD7D58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ismeretellenőrzésben alkalmazandó </w:t>
            </w:r>
            <w:r w:rsidRPr="00D940A3">
              <w:rPr>
                <w:b/>
                <w:sz w:val="22"/>
                <w:szCs w:val="22"/>
              </w:rPr>
              <w:t xml:space="preserve">további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b/>
                <w:sz w:val="22"/>
                <w:szCs w:val="22"/>
              </w:rPr>
              <w:t xml:space="preserve">: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  <w:tr w:rsidR="00CD7D58" w:rsidRPr="00D940A3" w:rsidTr="00554D8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7D58" w:rsidRPr="00D940A3" w:rsidRDefault="00CD7D58" w:rsidP="00554D8E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tantárgy </w:t>
            </w:r>
            <w:r w:rsidRPr="00D940A3">
              <w:rPr>
                <w:b/>
                <w:sz w:val="22"/>
                <w:szCs w:val="22"/>
              </w:rPr>
              <w:t>tantervi helye</w:t>
            </w:r>
            <w:r w:rsidRPr="00D940A3">
              <w:rPr>
                <w:sz w:val="22"/>
                <w:szCs w:val="22"/>
              </w:rPr>
              <w:t xml:space="preserve"> (hányadik félév): </w:t>
            </w:r>
            <w:r w:rsidRPr="00D940A3">
              <w:rPr>
                <w:b/>
                <w:sz w:val="22"/>
                <w:szCs w:val="22"/>
              </w:rPr>
              <w:t>2-3.</w:t>
            </w:r>
          </w:p>
        </w:tc>
      </w:tr>
      <w:tr w:rsidR="00CD7D58" w:rsidRPr="00D940A3" w:rsidTr="00554D8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7D58" w:rsidRPr="00D940A3" w:rsidRDefault="00CD7D58" w:rsidP="00554D8E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Előtanulmányi feltételek </w:t>
            </w:r>
            <w:r w:rsidRPr="00D940A3">
              <w:rPr>
                <w:i/>
                <w:sz w:val="22"/>
                <w:szCs w:val="22"/>
              </w:rPr>
              <w:t>(ha vannak)</w:t>
            </w:r>
            <w:proofErr w:type="gramStart"/>
            <w:r w:rsidRPr="00D940A3">
              <w:rPr>
                <w:sz w:val="22"/>
                <w:szCs w:val="22"/>
              </w:rPr>
              <w:t>:</w:t>
            </w:r>
            <w:r w:rsidRPr="00D940A3">
              <w:rPr>
                <w:i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…………..</w:t>
            </w:r>
          </w:p>
        </w:tc>
      </w:tr>
    </w:tbl>
    <w:p w:rsidR="00CD7D58" w:rsidRPr="00D940A3" w:rsidRDefault="00CD7D58" w:rsidP="00CD7D58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CD7D58" w:rsidRPr="00D940A3" w:rsidTr="00554D8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7D58" w:rsidRPr="00D940A3" w:rsidRDefault="00CD7D58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Tantárgyleírás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CD7D58" w:rsidRPr="00D940A3" w:rsidTr="00554D8E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D7D58" w:rsidRPr="00D940A3" w:rsidRDefault="00CD7D58" w:rsidP="00554D8E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tantárgy célja az irodalom és más médiumok viszonyrendszerének feltérképezése. Az irodalom mediális sajátosságaira való rákérdezést az </w:t>
            </w:r>
            <w:proofErr w:type="spellStart"/>
            <w:r w:rsidRPr="00D940A3">
              <w:rPr>
                <w:sz w:val="22"/>
                <w:szCs w:val="22"/>
              </w:rPr>
              <w:t>intermediális</w:t>
            </w:r>
            <w:proofErr w:type="spellEnd"/>
            <w:r w:rsidRPr="00D940A3">
              <w:rPr>
                <w:sz w:val="22"/>
                <w:szCs w:val="22"/>
              </w:rPr>
              <w:t xml:space="preserve"> kapcsolatok vizsgálata követi. A </w:t>
            </w:r>
            <w:proofErr w:type="gramStart"/>
            <w:r w:rsidRPr="00D940A3">
              <w:rPr>
                <w:sz w:val="22"/>
                <w:szCs w:val="22"/>
              </w:rPr>
              <w:t>kurzus váltakozó</w:t>
            </w:r>
            <w:proofErr w:type="gramEnd"/>
            <w:r w:rsidRPr="00D940A3">
              <w:rPr>
                <w:sz w:val="22"/>
                <w:szCs w:val="22"/>
              </w:rPr>
              <w:t xml:space="preserve"> tartalmakkal kerül meghirdetésre, amennyiben egy-egy szemeszter az irodalom és a film, a színház, a zene, illetve a képregény viszonyára koncentrál. Az irodalom és más médiumok kapcsolatának történeti áttekintése, az </w:t>
            </w:r>
            <w:proofErr w:type="spellStart"/>
            <w:r w:rsidRPr="00D940A3">
              <w:rPr>
                <w:sz w:val="22"/>
                <w:szCs w:val="22"/>
              </w:rPr>
              <w:t>intermedialitás</w:t>
            </w:r>
            <w:proofErr w:type="spellEnd"/>
            <w:r w:rsidRPr="00D940A3">
              <w:rPr>
                <w:sz w:val="22"/>
                <w:szCs w:val="22"/>
              </w:rPr>
              <w:t xml:space="preserve"> jelenségének fogalmi tisztázása és az adaptáció problematikájának megvilágítása után az irodalmi és más médiumokra jellemző elbeszélés technikái, mediális sajátosságai kerülnek az előtérbe. Hangsúlyos szerepet kapnak a </w:t>
            </w:r>
            <w:proofErr w:type="spellStart"/>
            <w:r w:rsidRPr="00D940A3">
              <w:rPr>
                <w:sz w:val="22"/>
                <w:szCs w:val="22"/>
              </w:rPr>
              <w:t>transzmedialitás</w:t>
            </w:r>
            <w:proofErr w:type="spellEnd"/>
            <w:r w:rsidRPr="00D940A3">
              <w:rPr>
                <w:sz w:val="22"/>
                <w:szCs w:val="22"/>
              </w:rPr>
              <w:t xml:space="preserve"> megjelenési formái, azaz egy mű, téma, motívumrendszer stb. különböző médiumokban való feldolgozása, idézése, értelmezése. </w:t>
            </w:r>
          </w:p>
        </w:tc>
      </w:tr>
      <w:tr w:rsidR="00CD7D58" w:rsidRPr="00D940A3" w:rsidTr="00554D8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D7D58" w:rsidRPr="00D940A3" w:rsidRDefault="00CD7D58" w:rsidP="00554D8E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CD7D58" w:rsidRPr="00D940A3" w:rsidTr="00554D8E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D7D58" w:rsidRPr="00D940A3" w:rsidRDefault="00CD7D58" w:rsidP="00554D8E">
            <w:pPr>
              <w:suppressAutoHyphens/>
              <w:ind w:left="34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Kötelező irodalom:</w:t>
            </w:r>
          </w:p>
          <w:p w:rsidR="00CD7D58" w:rsidRPr="00D940A3" w:rsidRDefault="00CD7D58" w:rsidP="00554D8E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Dörr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Volker</w:t>
            </w:r>
            <w:proofErr w:type="spellEnd"/>
            <w:r w:rsidRPr="00D940A3">
              <w:rPr>
                <w:sz w:val="22"/>
                <w:szCs w:val="22"/>
              </w:rPr>
              <w:t xml:space="preserve"> C. (szerk.): </w:t>
            </w:r>
            <w:proofErr w:type="spellStart"/>
            <w:r w:rsidRPr="00D940A3">
              <w:rPr>
                <w:i/>
                <w:sz w:val="22"/>
                <w:szCs w:val="22"/>
              </w:rPr>
              <w:t>Intertextualität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i/>
                <w:sz w:val="22"/>
                <w:szCs w:val="22"/>
              </w:rPr>
              <w:t>Intermedialität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i/>
                <w:sz w:val="22"/>
                <w:szCs w:val="22"/>
              </w:rPr>
              <w:t>Transmedialität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i/>
                <w:sz w:val="22"/>
                <w:szCs w:val="22"/>
              </w:rPr>
              <w:t>zur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Beziehung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zwischen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Literatur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und </w:t>
            </w:r>
            <w:proofErr w:type="spellStart"/>
            <w:r w:rsidRPr="00D940A3">
              <w:rPr>
                <w:i/>
                <w:sz w:val="22"/>
                <w:szCs w:val="22"/>
              </w:rPr>
              <w:t>anderen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Medien</w:t>
            </w:r>
            <w:proofErr w:type="spellEnd"/>
            <w:r w:rsidRPr="00D940A3">
              <w:rPr>
                <w:sz w:val="22"/>
                <w:szCs w:val="22"/>
              </w:rPr>
              <w:t xml:space="preserve">. Würzburg: </w:t>
            </w:r>
            <w:proofErr w:type="spellStart"/>
            <w:r w:rsidRPr="00D940A3">
              <w:rPr>
                <w:sz w:val="22"/>
                <w:szCs w:val="22"/>
              </w:rPr>
              <w:t>Königshausen</w:t>
            </w:r>
            <w:proofErr w:type="spellEnd"/>
            <w:r w:rsidRPr="00D940A3">
              <w:rPr>
                <w:sz w:val="22"/>
                <w:szCs w:val="22"/>
              </w:rPr>
              <w:t xml:space="preserve"> &amp; Neumann, 2014. (ISBN 978-3-8260-5351-1)</w:t>
            </w:r>
          </w:p>
          <w:p w:rsidR="00CD7D58" w:rsidRPr="00D940A3" w:rsidRDefault="00CD7D58" w:rsidP="00554D8E">
            <w:pPr>
              <w:jc w:val="both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Enderwitz</w:t>
            </w:r>
            <w:proofErr w:type="spellEnd"/>
            <w:r w:rsidRPr="00D940A3">
              <w:rPr>
                <w:sz w:val="22"/>
                <w:szCs w:val="22"/>
              </w:rPr>
              <w:t xml:space="preserve">, Anne – </w:t>
            </w:r>
            <w:proofErr w:type="spellStart"/>
            <w:r w:rsidRPr="00D940A3">
              <w:rPr>
                <w:sz w:val="22"/>
                <w:szCs w:val="22"/>
              </w:rPr>
              <w:t>Rajewsky</w:t>
            </w:r>
            <w:proofErr w:type="spellEnd"/>
            <w:r w:rsidRPr="00D940A3">
              <w:rPr>
                <w:sz w:val="22"/>
                <w:szCs w:val="22"/>
              </w:rPr>
              <w:t xml:space="preserve">, Irina O. (szerk.): </w:t>
            </w:r>
            <w:proofErr w:type="spellStart"/>
            <w:r w:rsidRPr="00D940A3">
              <w:rPr>
                <w:i/>
                <w:sz w:val="22"/>
                <w:szCs w:val="22"/>
              </w:rPr>
              <w:t>Fiktion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im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Vergleich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der </w:t>
            </w:r>
            <w:proofErr w:type="spellStart"/>
            <w:r w:rsidRPr="00D940A3">
              <w:rPr>
                <w:i/>
                <w:sz w:val="22"/>
                <w:szCs w:val="22"/>
              </w:rPr>
              <w:t>Künste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und </w:t>
            </w:r>
            <w:proofErr w:type="spellStart"/>
            <w:r w:rsidRPr="00D940A3">
              <w:rPr>
                <w:i/>
                <w:sz w:val="22"/>
                <w:szCs w:val="22"/>
              </w:rPr>
              <w:t>Medien</w:t>
            </w:r>
            <w:proofErr w:type="spellEnd"/>
            <w:r w:rsidRPr="00D940A3">
              <w:rPr>
                <w:sz w:val="22"/>
                <w:szCs w:val="22"/>
              </w:rPr>
              <w:t xml:space="preserve">. Berlin–Boston: De </w:t>
            </w:r>
            <w:proofErr w:type="spellStart"/>
            <w:r w:rsidRPr="00D940A3">
              <w:rPr>
                <w:sz w:val="22"/>
                <w:szCs w:val="22"/>
              </w:rPr>
              <w:t>Gruyter</w:t>
            </w:r>
            <w:proofErr w:type="spellEnd"/>
            <w:r w:rsidRPr="00D940A3">
              <w:rPr>
                <w:sz w:val="22"/>
                <w:szCs w:val="22"/>
              </w:rPr>
              <w:t>, 2016. (ISBN 978-3110496420)</w:t>
            </w:r>
          </w:p>
          <w:p w:rsidR="00CD7D58" w:rsidRPr="00D940A3" w:rsidRDefault="00CD7D58" w:rsidP="00554D8E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Mahne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Nicole</w:t>
            </w:r>
            <w:proofErr w:type="spellEnd"/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i/>
                <w:sz w:val="22"/>
                <w:szCs w:val="22"/>
              </w:rPr>
              <w:t>Transmediale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Erzähltheorie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D940A3">
              <w:rPr>
                <w:i/>
                <w:sz w:val="22"/>
                <w:szCs w:val="22"/>
              </w:rPr>
              <w:t>Eine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Einführung</w:t>
            </w:r>
            <w:proofErr w:type="spellEnd"/>
            <w:r w:rsidRPr="00D940A3">
              <w:rPr>
                <w:sz w:val="22"/>
                <w:szCs w:val="22"/>
              </w:rPr>
              <w:t xml:space="preserve">. Göttingen: </w:t>
            </w:r>
            <w:proofErr w:type="spellStart"/>
            <w:r w:rsidRPr="00D940A3">
              <w:rPr>
                <w:sz w:val="22"/>
                <w:szCs w:val="22"/>
              </w:rPr>
              <w:t>Vandenhoeck</w:t>
            </w:r>
            <w:proofErr w:type="spellEnd"/>
            <w:r w:rsidRPr="00D940A3">
              <w:rPr>
                <w:sz w:val="22"/>
                <w:szCs w:val="22"/>
              </w:rPr>
              <w:t xml:space="preserve"> &amp; </w:t>
            </w:r>
            <w:proofErr w:type="spellStart"/>
            <w:r w:rsidRPr="00D940A3">
              <w:rPr>
                <w:sz w:val="22"/>
                <w:szCs w:val="22"/>
              </w:rPr>
              <w:t>Ruprecht</w:t>
            </w:r>
            <w:proofErr w:type="spellEnd"/>
            <w:r w:rsidRPr="00D940A3">
              <w:rPr>
                <w:sz w:val="22"/>
                <w:szCs w:val="22"/>
              </w:rPr>
              <w:t>, 2007. (ISBN 978-3-8252-2913-9)</w:t>
            </w:r>
          </w:p>
          <w:p w:rsidR="00CD7D58" w:rsidRPr="00D940A3" w:rsidRDefault="00CD7D58" w:rsidP="00554D8E">
            <w:pPr>
              <w:jc w:val="both"/>
              <w:rPr>
                <w:sz w:val="23"/>
                <w:szCs w:val="23"/>
              </w:rPr>
            </w:pPr>
            <w:proofErr w:type="spellStart"/>
            <w:r w:rsidRPr="00D940A3">
              <w:rPr>
                <w:sz w:val="23"/>
                <w:szCs w:val="23"/>
              </w:rPr>
              <w:t>Nünning</w:t>
            </w:r>
            <w:proofErr w:type="spellEnd"/>
            <w:r w:rsidRPr="00D940A3">
              <w:rPr>
                <w:sz w:val="23"/>
                <w:szCs w:val="23"/>
              </w:rPr>
              <w:t xml:space="preserve">, Vera – </w:t>
            </w:r>
            <w:proofErr w:type="spellStart"/>
            <w:r w:rsidRPr="00D940A3">
              <w:rPr>
                <w:sz w:val="23"/>
                <w:szCs w:val="23"/>
              </w:rPr>
              <w:t>Nünning</w:t>
            </w:r>
            <w:proofErr w:type="spellEnd"/>
            <w:r w:rsidRPr="00D940A3">
              <w:rPr>
                <w:sz w:val="23"/>
                <w:szCs w:val="23"/>
              </w:rPr>
              <w:t xml:space="preserve">, </w:t>
            </w:r>
            <w:proofErr w:type="spellStart"/>
            <w:r w:rsidRPr="00D940A3">
              <w:rPr>
                <w:sz w:val="23"/>
                <w:szCs w:val="23"/>
              </w:rPr>
              <w:t>Ansgar</w:t>
            </w:r>
            <w:proofErr w:type="spellEnd"/>
            <w:r w:rsidRPr="00D940A3">
              <w:rPr>
                <w:sz w:val="23"/>
                <w:szCs w:val="23"/>
              </w:rPr>
              <w:t xml:space="preserve"> (szerk.): </w:t>
            </w:r>
            <w:proofErr w:type="spellStart"/>
            <w:r w:rsidRPr="00D940A3">
              <w:rPr>
                <w:i/>
                <w:sz w:val="23"/>
                <w:szCs w:val="23"/>
              </w:rPr>
              <w:t>Erzähltheorie</w:t>
            </w:r>
            <w:proofErr w:type="spellEnd"/>
            <w:r w:rsidRPr="00D940A3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D940A3">
              <w:rPr>
                <w:i/>
                <w:sz w:val="23"/>
                <w:szCs w:val="23"/>
              </w:rPr>
              <w:t>transgenerisch</w:t>
            </w:r>
            <w:proofErr w:type="spellEnd"/>
            <w:r w:rsidRPr="00D940A3">
              <w:rPr>
                <w:i/>
                <w:sz w:val="23"/>
                <w:szCs w:val="23"/>
              </w:rPr>
              <w:t xml:space="preserve">, </w:t>
            </w:r>
            <w:proofErr w:type="spellStart"/>
            <w:r w:rsidRPr="00D940A3">
              <w:rPr>
                <w:i/>
                <w:sz w:val="23"/>
                <w:szCs w:val="23"/>
              </w:rPr>
              <w:t>intermedial</w:t>
            </w:r>
            <w:proofErr w:type="spellEnd"/>
            <w:r w:rsidRPr="00D940A3">
              <w:rPr>
                <w:i/>
                <w:sz w:val="23"/>
                <w:szCs w:val="23"/>
              </w:rPr>
              <w:t xml:space="preserve">, </w:t>
            </w:r>
            <w:proofErr w:type="spellStart"/>
            <w:r w:rsidRPr="00D940A3">
              <w:rPr>
                <w:i/>
                <w:sz w:val="23"/>
                <w:szCs w:val="23"/>
              </w:rPr>
              <w:t>interdisziplinär</w:t>
            </w:r>
            <w:proofErr w:type="spellEnd"/>
            <w:r w:rsidRPr="00D940A3">
              <w:rPr>
                <w:i/>
                <w:sz w:val="23"/>
                <w:szCs w:val="23"/>
              </w:rPr>
              <w:t>.</w:t>
            </w:r>
            <w:r w:rsidRPr="00D940A3">
              <w:rPr>
                <w:sz w:val="23"/>
                <w:szCs w:val="23"/>
              </w:rPr>
              <w:t xml:space="preserve"> </w:t>
            </w:r>
            <w:proofErr w:type="spellStart"/>
            <w:r w:rsidRPr="00D940A3">
              <w:rPr>
                <w:sz w:val="23"/>
                <w:szCs w:val="23"/>
              </w:rPr>
              <w:t>Trier</w:t>
            </w:r>
            <w:proofErr w:type="spellEnd"/>
            <w:r w:rsidRPr="00D940A3">
              <w:rPr>
                <w:sz w:val="23"/>
                <w:szCs w:val="23"/>
              </w:rPr>
              <w:t xml:space="preserve">: </w:t>
            </w:r>
            <w:proofErr w:type="spellStart"/>
            <w:r w:rsidRPr="00D940A3">
              <w:rPr>
                <w:sz w:val="23"/>
                <w:szCs w:val="23"/>
              </w:rPr>
              <w:t>Wissenschaftlicher</w:t>
            </w:r>
            <w:proofErr w:type="spellEnd"/>
            <w:r w:rsidRPr="00D940A3">
              <w:rPr>
                <w:sz w:val="23"/>
                <w:szCs w:val="23"/>
              </w:rPr>
              <w:t xml:space="preserve"> </w:t>
            </w:r>
            <w:proofErr w:type="spellStart"/>
            <w:r w:rsidRPr="00D940A3">
              <w:rPr>
                <w:sz w:val="23"/>
                <w:szCs w:val="23"/>
              </w:rPr>
              <w:t>Verlag</w:t>
            </w:r>
            <w:proofErr w:type="spellEnd"/>
            <w:r w:rsidRPr="00D940A3">
              <w:rPr>
                <w:sz w:val="23"/>
                <w:szCs w:val="23"/>
              </w:rPr>
              <w:t>, 2002. (ISBN 3-88476-547-7)</w:t>
            </w:r>
          </w:p>
          <w:p w:rsidR="00CD7D58" w:rsidRPr="00D940A3" w:rsidRDefault="00CD7D58" w:rsidP="00554D8E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Paech</w:t>
            </w:r>
            <w:proofErr w:type="spellEnd"/>
            <w:r w:rsidRPr="00D940A3">
              <w:rPr>
                <w:sz w:val="22"/>
                <w:szCs w:val="22"/>
              </w:rPr>
              <w:t xml:space="preserve">, Joachim: </w:t>
            </w:r>
            <w:r w:rsidRPr="00D940A3">
              <w:rPr>
                <w:i/>
                <w:sz w:val="22"/>
                <w:szCs w:val="22"/>
              </w:rPr>
              <w:t xml:space="preserve">Film, </w:t>
            </w:r>
            <w:proofErr w:type="spellStart"/>
            <w:r w:rsidRPr="00D940A3">
              <w:rPr>
                <w:i/>
                <w:sz w:val="22"/>
                <w:szCs w:val="22"/>
              </w:rPr>
              <w:t>Fernsehen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, Video und die </w:t>
            </w:r>
            <w:proofErr w:type="spellStart"/>
            <w:r w:rsidRPr="00D940A3">
              <w:rPr>
                <w:i/>
                <w:sz w:val="22"/>
                <w:szCs w:val="22"/>
              </w:rPr>
              <w:t>Künste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D940A3">
              <w:rPr>
                <w:i/>
                <w:sz w:val="22"/>
                <w:szCs w:val="22"/>
              </w:rPr>
              <w:t>Strategien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der </w:t>
            </w:r>
            <w:proofErr w:type="spellStart"/>
            <w:r w:rsidRPr="00D940A3">
              <w:rPr>
                <w:i/>
                <w:sz w:val="22"/>
                <w:szCs w:val="22"/>
              </w:rPr>
              <w:t>Intermedialität</w:t>
            </w:r>
            <w:proofErr w:type="spellEnd"/>
            <w:r w:rsidRPr="00D940A3">
              <w:rPr>
                <w:sz w:val="22"/>
                <w:szCs w:val="22"/>
              </w:rPr>
              <w:t>. Stuttgart–</w:t>
            </w:r>
            <w:proofErr w:type="spellStart"/>
            <w:r w:rsidRPr="00D940A3">
              <w:rPr>
                <w:sz w:val="22"/>
                <w:szCs w:val="22"/>
              </w:rPr>
              <w:t>Weimar</w:t>
            </w:r>
            <w:proofErr w:type="spellEnd"/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Metzler</w:t>
            </w:r>
            <w:proofErr w:type="spellEnd"/>
            <w:r w:rsidRPr="00D940A3">
              <w:rPr>
                <w:sz w:val="22"/>
                <w:szCs w:val="22"/>
              </w:rPr>
              <w:t>, 1994. (ISBN 3-476-00994-7)</w:t>
            </w:r>
          </w:p>
          <w:p w:rsidR="00CD7D58" w:rsidRPr="00D940A3" w:rsidRDefault="00CD7D58" w:rsidP="00554D8E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CD7D58" w:rsidRPr="00D940A3" w:rsidTr="00554D8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D7D58" w:rsidRPr="00D940A3" w:rsidRDefault="00CD7D58" w:rsidP="00554D8E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lastRenderedPageBreak/>
              <w:t xml:space="preserve">Azoknak az </w:t>
            </w:r>
            <w:r w:rsidRPr="00D940A3">
              <w:rPr>
                <w:b/>
                <w:sz w:val="22"/>
                <w:szCs w:val="22"/>
              </w:rPr>
              <w:t>előírt</w:t>
            </w:r>
            <w:r w:rsidRPr="00D940A3">
              <w:rPr>
                <w:sz w:val="22"/>
                <w:szCs w:val="22"/>
              </w:rPr>
              <w:t xml:space="preserve"> s</w:t>
            </w:r>
            <w:r w:rsidRPr="00D940A3">
              <w:rPr>
                <w:b/>
                <w:sz w:val="22"/>
                <w:szCs w:val="22"/>
              </w:rPr>
              <w:t>zakmai kompetenciáknak, kompetencia-elemeknek</w:t>
            </w:r>
            <w:r w:rsidRPr="00D940A3">
              <w:rPr>
                <w:sz w:val="21"/>
                <w:szCs w:val="21"/>
              </w:rPr>
              <w:t xml:space="preserve"> </w:t>
            </w:r>
            <w:r w:rsidRPr="00D940A3">
              <w:rPr>
                <w:i/>
              </w:rPr>
              <w:t>(tudás, képesség</w:t>
            </w:r>
            <w:r w:rsidRPr="00D940A3">
              <w:t xml:space="preserve"> stb., </w:t>
            </w:r>
            <w:r w:rsidRPr="00D940A3">
              <w:rPr>
                <w:i/>
              </w:rPr>
              <w:t xml:space="preserve">KKK </w:t>
            </w:r>
            <w:r w:rsidRPr="00D940A3">
              <w:rPr>
                <w:b/>
                <w:i/>
              </w:rPr>
              <w:t>7.</w:t>
            </w:r>
            <w:r w:rsidRPr="00D940A3">
              <w:rPr>
                <w:i/>
              </w:rPr>
              <w:t xml:space="preserve"> pont</w:t>
            </w:r>
            <w:r w:rsidRPr="00D940A3">
              <w:t xml:space="preserve">) </w:t>
            </w:r>
            <w:r w:rsidRPr="00D940A3">
              <w:rPr>
                <w:sz w:val="22"/>
                <w:szCs w:val="22"/>
              </w:rPr>
              <w:t xml:space="preserve">a felsorolása, </w:t>
            </w:r>
            <w:r w:rsidRPr="00D940A3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CD7D58" w:rsidRPr="00D940A3" w:rsidTr="00554D8E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D7D58" w:rsidRPr="00D940A3" w:rsidRDefault="00CD7D58" w:rsidP="00554D8E">
            <w:pPr>
              <w:suppressAutoHyphens/>
              <w:ind w:left="34"/>
              <w:rPr>
                <w:i/>
              </w:rPr>
            </w:pPr>
            <w:r w:rsidRPr="00D940A3">
              <w:rPr>
                <w:i/>
              </w:rPr>
              <w:t xml:space="preserve">pl.: </w:t>
            </w:r>
          </w:p>
          <w:p w:rsidR="00CD7D58" w:rsidRPr="00D940A3" w:rsidRDefault="00CD7D58" w:rsidP="00554D8E">
            <w:pPr>
              <w:tabs>
                <w:tab w:val="left" w:pos="317"/>
              </w:tabs>
              <w:suppressAutoHyphens/>
              <w:ind w:left="176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a</w:t>
            </w:r>
            <w:proofErr w:type="gramStart"/>
            <w:r w:rsidRPr="00D940A3">
              <w:rPr>
                <w:b/>
                <w:sz w:val="22"/>
                <w:szCs w:val="22"/>
              </w:rPr>
              <w:t>)tudása</w:t>
            </w:r>
            <w:proofErr w:type="gramEnd"/>
          </w:p>
          <w:p w:rsidR="00CD7D58" w:rsidRPr="00D940A3" w:rsidRDefault="00CD7D58" w:rsidP="00554D8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-alaposan</w:t>
            </w:r>
            <w:proofErr w:type="spellEnd"/>
            <w:r w:rsidRPr="00D940A3">
              <w:rPr>
                <w:sz w:val="22"/>
                <w:szCs w:val="22"/>
              </w:rPr>
              <w:t xml:space="preserve"> ismeri szakterületének jellemző írásbeli és szóbeli műfajait, kontextusát</w:t>
            </w:r>
          </w:p>
          <w:p w:rsidR="00CD7D58" w:rsidRPr="00D940A3" w:rsidRDefault="00CD7D58" w:rsidP="00554D8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-részleteiben</w:t>
            </w:r>
            <w:proofErr w:type="spellEnd"/>
            <w:r w:rsidRPr="00D940A3">
              <w:rPr>
                <w:sz w:val="22"/>
                <w:szCs w:val="22"/>
              </w:rPr>
              <w:t xml:space="preserve"> átlátja a kultúratudomány elméleti problémáit</w:t>
            </w:r>
          </w:p>
          <w:p w:rsidR="00CD7D58" w:rsidRPr="00D940A3" w:rsidRDefault="00CD7D58" w:rsidP="00554D8E">
            <w:pPr>
              <w:tabs>
                <w:tab w:val="left" w:pos="317"/>
              </w:tabs>
              <w:suppressAutoHyphens/>
              <w:ind w:left="176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b</w:t>
            </w:r>
            <w:proofErr w:type="gramStart"/>
            <w:r w:rsidRPr="00D940A3">
              <w:rPr>
                <w:b/>
                <w:sz w:val="22"/>
                <w:szCs w:val="22"/>
              </w:rPr>
              <w:t>)képességei</w:t>
            </w:r>
            <w:proofErr w:type="gramEnd"/>
          </w:p>
          <w:p w:rsidR="00CD7D58" w:rsidRPr="00D940A3" w:rsidRDefault="00CD7D58" w:rsidP="00554D8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-képes</w:t>
            </w:r>
            <w:proofErr w:type="spellEnd"/>
            <w:r w:rsidRPr="00D940A3">
              <w:rPr>
                <w:sz w:val="22"/>
                <w:szCs w:val="22"/>
              </w:rPr>
              <w:t xml:space="preserve"> a megoldandó szakmai problémák megértésére</w:t>
            </w:r>
          </w:p>
          <w:p w:rsidR="00CD7D58" w:rsidRPr="00D940A3" w:rsidRDefault="00CD7D58" w:rsidP="00554D8E">
            <w:pPr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-képes</w:t>
            </w:r>
            <w:proofErr w:type="spellEnd"/>
            <w:r w:rsidRPr="00D940A3">
              <w:rPr>
                <w:sz w:val="22"/>
                <w:szCs w:val="22"/>
              </w:rPr>
              <w:t xml:space="preserve"> az interdiszciplináris területeken az aktuális kutatások és a tudományos munka értékelésére</w:t>
            </w:r>
          </w:p>
        </w:tc>
      </w:tr>
    </w:tbl>
    <w:p w:rsidR="00CD7D58" w:rsidRPr="00D940A3" w:rsidRDefault="00CD7D58" w:rsidP="00CD7D58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CD7D58" w:rsidRPr="00D940A3" w:rsidTr="00554D8E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CD7D58" w:rsidRPr="00D940A3" w:rsidRDefault="00CD7D58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Tantárgy felelőse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név, beosztás, tud. fokozat</w:t>
            </w:r>
            <w:r w:rsidRPr="00D940A3">
              <w:rPr>
                <w:sz w:val="22"/>
                <w:szCs w:val="22"/>
              </w:rPr>
              <w:t>)</w:t>
            </w:r>
            <w:r w:rsidRPr="00D940A3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b/>
                <w:sz w:val="22"/>
                <w:szCs w:val="22"/>
              </w:rPr>
              <w:t>Kricsfalusi</w:t>
            </w:r>
            <w:proofErr w:type="spellEnd"/>
            <w:r w:rsidRPr="00D940A3">
              <w:rPr>
                <w:b/>
                <w:sz w:val="22"/>
                <w:szCs w:val="22"/>
              </w:rPr>
              <w:t xml:space="preserve"> Beatrix, egy. adj. PhD.</w:t>
            </w:r>
          </w:p>
        </w:tc>
      </w:tr>
      <w:tr w:rsidR="00CD7D58" w:rsidRPr="00D940A3" w:rsidTr="00554D8E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CD7D58" w:rsidRPr="00D940A3" w:rsidRDefault="00CD7D58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D940A3">
              <w:rPr>
                <w:b/>
                <w:sz w:val="22"/>
                <w:szCs w:val="22"/>
              </w:rPr>
              <w:t>oktató(</w:t>
            </w:r>
            <w:proofErr w:type="gramEnd"/>
            <w:r w:rsidRPr="00D940A3">
              <w:rPr>
                <w:b/>
                <w:sz w:val="22"/>
                <w:szCs w:val="22"/>
              </w:rPr>
              <w:t xml:space="preserve">k), </w:t>
            </w:r>
            <w:r w:rsidRPr="00D940A3">
              <w:rPr>
                <w:sz w:val="22"/>
                <w:szCs w:val="22"/>
              </w:rPr>
              <w:t>ha van(</w:t>
            </w:r>
            <w:proofErr w:type="spellStart"/>
            <w:r w:rsidRPr="00D940A3">
              <w:rPr>
                <w:sz w:val="22"/>
                <w:szCs w:val="22"/>
              </w:rPr>
              <w:t>nak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név, beosztás, tud. fokozat</w:t>
            </w:r>
            <w:r w:rsidRPr="00D940A3">
              <w:rPr>
                <w:sz w:val="22"/>
                <w:szCs w:val="22"/>
              </w:rPr>
              <w:t>)</w:t>
            </w:r>
            <w:r w:rsidRPr="00D940A3">
              <w:rPr>
                <w:b/>
                <w:sz w:val="22"/>
                <w:szCs w:val="22"/>
              </w:rPr>
              <w:t>:</w:t>
            </w:r>
          </w:p>
          <w:p w:rsidR="00CD7D58" w:rsidRPr="00D940A3" w:rsidRDefault="00CD7D58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D7D58" w:rsidRPr="00D940A3" w:rsidRDefault="00CD7D58" w:rsidP="00CD7D58"/>
    <w:p w:rsidR="00CD7D58" w:rsidRPr="00D940A3" w:rsidRDefault="00CD7D58" w:rsidP="00CD7D58">
      <w:pPr>
        <w:spacing w:after="200" w:line="276" w:lineRule="auto"/>
      </w:pPr>
      <w:r w:rsidRPr="00D940A3">
        <w:br w:type="page"/>
      </w:r>
    </w:p>
    <w:p w:rsidR="00AB3ABE" w:rsidRDefault="00AB3ABE"/>
    <w:sectPr w:rsidR="00AB3ABE" w:rsidSect="00AB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78" w:rsidRDefault="00CD7378" w:rsidP="00CD7D58">
      <w:r>
        <w:separator/>
      </w:r>
    </w:p>
  </w:endnote>
  <w:endnote w:type="continuationSeparator" w:id="0">
    <w:p w:rsidR="00CD7378" w:rsidRDefault="00CD7378" w:rsidP="00CD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78" w:rsidRDefault="00CD7378" w:rsidP="00CD7D58">
      <w:r>
        <w:separator/>
      </w:r>
    </w:p>
  </w:footnote>
  <w:footnote w:type="continuationSeparator" w:id="0">
    <w:p w:rsidR="00CD7378" w:rsidRDefault="00CD7378" w:rsidP="00CD7D58">
      <w:r>
        <w:continuationSeparator/>
      </w:r>
    </w:p>
  </w:footnote>
  <w:footnote w:id="1">
    <w:p w:rsidR="00CD7D58" w:rsidRPr="00A5216A" w:rsidRDefault="00CD7D58" w:rsidP="00CD7D58">
      <w:pPr>
        <w:pStyle w:val="Lbjegyzetszveg"/>
        <w:ind w:left="142" w:hanging="142"/>
        <w:rPr>
          <w:sz w:val="4"/>
          <w:szCs w:val="4"/>
        </w:rPr>
      </w:pPr>
    </w:p>
    <w:p w:rsidR="00CD7D58" w:rsidRPr="0003723C" w:rsidRDefault="00CD7D58" w:rsidP="00CD7D5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CD7D58" w:rsidRPr="00CD5314" w:rsidRDefault="00CD7D58" w:rsidP="00CD7D5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CD7D58" w:rsidRPr="00CD5314" w:rsidRDefault="00CD7D58" w:rsidP="00CD7D5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CD7D58" w:rsidRPr="00CD5314" w:rsidRDefault="00CD7D58" w:rsidP="00CD7D5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D58"/>
    <w:rsid w:val="00AB3ABE"/>
    <w:rsid w:val="00CD7378"/>
    <w:rsid w:val="00CD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D7D5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D7D58"/>
  </w:style>
  <w:style w:type="character" w:customStyle="1" w:styleId="LbjegyzetszvegChar">
    <w:name w:val="Lábjegyzetszöveg Char"/>
    <w:basedOn w:val="Bekezdsalapbettpusa"/>
    <w:link w:val="Lbjegyzetszveg"/>
    <w:semiHidden/>
    <w:rsid w:val="00CD7D5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2021-11-05T11:15:00Z</dcterms:created>
  <dcterms:modified xsi:type="dcterms:W3CDTF">2021-11-05T11:15:00Z</dcterms:modified>
</cp:coreProperties>
</file>