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  <w:gridCol w:w="2508"/>
      </w:tblGrid>
      <w:tr w:rsidR="007E1CC8" w:rsidRPr="008A2386" w:rsidTr="00513A26"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A5157" w:rsidRDefault="007E1CC8" w:rsidP="00660FB3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="0076155A">
              <w:rPr>
                <w:b/>
              </w:rPr>
              <w:t>Irodalmi szövegelemzés 2</w:t>
            </w:r>
            <w:r>
              <w:rPr>
                <w:b/>
              </w:rPr>
              <w:t xml:space="preserve">. </w:t>
            </w:r>
          </w:p>
          <w:p w:rsidR="007E1CC8" w:rsidRPr="008A2386" w:rsidRDefault="007E1CC8" w:rsidP="00193E0F">
            <w:pPr>
              <w:rPr>
                <w:b/>
                <w:i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193E0F">
            <w:pPr>
              <w:rPr>
                <w:b/>
              </w:rPr>
            </w:pP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9A75AA" w:rsidRDefault="007E1CC8" w:rsidP="00513A26">
            <w:r>
              <w:t xml:space="preserve"> 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7E1CC8" w:rsidRPr="008A2386" w:rsidTr="00513A2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1CC8" w:rsidRPr="008A2386" w:rsidRDefault="007E1CC8" w:rsidP="00513A26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 xml:space="preserve">: </w:t>
            </w:r>
            <w:r w:rsidRPr="00AC4FCB">
              <w:rPr>
                <w:b/>
                <w:i/>
              </w:rPr>
              <w:t>gyakorlati jegy</w:t>
            </w:r>
          </w:p>
          <w:p w:rsidR="00DA5157" w:rsidRDefault="00DA5157" w:rsidP="005D78EC">
            <w:pPr>
              <w:jc w:val="both"/>
            </w:pPr>
          </w:p>
          <w:p w:rsidR="004627AE" w:rsidRPr="00784732" w:rsidRDefault="004627AE" w:rsidP="005D78EC">
            <w:pPr>
              <w:jc w:val="both"/>
              <w:rPr>
                <w:b/>
              </w:rPr>
            </w:pPr>
            <w:r w:rsidRPr="00784732">
              <w:rPr>
                <w:b/>
              </w:rPr>
              <w:t>A kurzus célja:</w:t>
            </w:r>
          </w:p>
          <w:p w:rsidR="004627AE" w:rsidRDefault="005D78EC" w:rsidP="004627AE">
            <w:pPr>
              <w:jc w:val="both"/>
            </w:pPr>
            <w:r>
              <w:t>A félév során rövid</w:t>
            </w:r>
            <w:r w:rsidR="0076155A">
              <w:t xml:space="preserve"> kortárs</w:t>
            </w:r>
            <w:r w:rsidR="00DA5157">
              <w:t xml:space="preserve"> német nyelvű</w:t>
            </w:r>
            <w:r>
              <w:t xml:space="preserve"> irodalmi műveket olvasunk, </w:t>
            </w:r>
            <w:r w:rsidR="0076155A">
              <w:t>különös tekintettel a női írók szövegeire</w:t>
            </w:r>
            <w:r>
              <w:t xml:space="preserve">. </w:t>
            </w:r>
            <w:r w:rsidR="004627AE">
              <w:t xml:space="preserve">Az óra célja, hogy hozzásegítse a hallgatókat hosszabb hangvételű idegen nyelvű szövegek megértéséhez. A kurzus során elvégzett gyakorlati feladatok egyrészt a szókincsbővítést, a nyelvi készség fejlesztését, valamint a szövegértési kompetenciák fejlődését helyezik előtérbe. A különféle interpretációs feladatok, a cselekmény órai összefoglalása, a fiktív szereplők jellemzése valamint a szövegek idő- és térbeli meghatározására készített feladatok az irodalomtudomány alapfogalmainak megértéséhez is hozzásegíti a hallgatókat. </w:t>
            </w:r>
          </w:p>
          <w:p w:rsidR="004627AE" w:rsidRDefault="004627AE" w:rsidP="004627AE">
            <w:pPr>
              <w:jc w:val="both"/>
            </w:pPr>
          </w:p>
          <w:p w:rsidR="004627AE" w:rsidRPr="00784732" w:rsidRDefault="004627AE" w:rsidP="004627AE">
            <w:pPr>
              <w:jc w:val="both"/>
              <w:rPr>
                <w:b/>
              </w:rPr>
            </w:pPr>
            <w:r w:rsidRPr="00784732">
              <w:rPr>
                <w:b/>
              </w:rPr>
              <w:t xml:space="preserve">Teljesítmény értékelése és a kurzus menete: </w:t>
            </w:r>
          </w:p>
          <w:p w:rsidR="004627AE" w:rsidRDefault="004627AE" w:rsidP="004627AE">
            <w:pPr>
              <w:jc w:val="both"/>
            </w:pPr>
          </w:p>
          <w:p w:rsidR="004627AE" w:rsidRDefault="004627AE" w:rsidP="004627AE">
            <w:pPr>
              <w:jc w:val="both"/>
            </w:pPr>
            <w:r>
              <w:t>A hallgatóktól elvárt, hogy az adott heti irodalmi szöveg elolvasása mellett a felmerülő ismeretlen szavakat minden héten szótárazzák és azt az adott alkalomra megtanulják (hiszen azok az órai diszkusszióhoz elengedhetetlenek). Az órai beszélgetéseken minden hallgatótól elvárt, hogy aktívan részt vegyen rajta.</w:t>
            </w:r>
          </w:p>
          <w:p w:rsidR="004627AE" w:rsidRDefault="004627AE" w:rsidP="004627AE">
            <w:pPr>
              <w:jc w:val="both"/>
            </w:pPr>
            <w:r>
              <w:t>A</w:t>
            </w:r>
            <w:r w:rsidR="00784732">
              <w:t xml:space="preserve"> kurzus teljesítésének alapvető feltétele</w:t>
            </w:r>
            <w:bookmarkStart w:id="0" w:name="_GoBack"/>
            <w:bookmarkEnd w:id="0"/>
            <w:r w:rsidR="00784732">
              <w:t xml:space="preserve"> az aktív és rendszeres részvétel. Annak érdekében, hogy a hallgatók írásbeli készségei is fejlődjenek, a félév során kettő rövidebb terjedelmű esszé kerül megírásra, melyek a kurzusra olvasott irodalmi szövegekre fókuszálnak. </w:t>
            </w:r>
          </w:p>
          <w:p w:rsidR="00784732" w:rsidRPr="001940FF" w:rsidRDefault="00784732" w:rsidP="004627AE">
            <w:pPr>
              <w:jc w:val="both"/>
            </w:pPr>
            <w:r>
              <w:t>Az értékelésnél az aktív részv</w:t>
            </w:r>
            <w:r w:rsidR="0076155A">
              <w:t>étel órai beszélgetések során (20%), a két esszé jegye (4</w:t>
            </w:r>
            <w:r>
              <w:t>0%), valamint a két nagyobb e</w:t>
            </w:r>
            <w:r w:rsidR="0076155A">
              <w:t>gységet átfedő dolgozat jegye (40%) kerül</w:t>
            </w:r>
            <w:r>
              <w:t xml:space="preserve"> beszámításra. </w:t>
            </w:r>
          </w:p>
          <w:p w:rsidR="001857B8" w:rsidRPr="001940FF" w:rsidRDefault="001857B8" w:rsidP="0081312B">
            <w:pPr>
              <w:jc w:val="both"/>
            </w:pPr>
          </w:p>
        </w:tc>
      </w:tr>
    </w:tbl>
    <w:p w:rsidR="00503569" w:rsidRDefault="00503569"/>
    <w:p w:rsidR="009E52C2" w:rsidRDefault="00DA5157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Tematika</w:t>
      </w:r>
      <w:r w:rsidR="009E52C2" w:rsidRPr="00972E71">
        <w:rPr>
          <w:rFonts w:cs="Times New Roman"/>
          <w:b/>
          <w:bCs/>
          <w:szCs w:val="24"/>
        </w:rPr>
        <w:t>:</w:t>
      </w:r>
    </w:p>
    <w:p w:rsidR="009E52C2" w:rsidRDefault="009E52C2" w:rsidP="009E52C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tbl>
      <w:tblPr>
        <w:tblStyle w:val="Rcsostblzat"/>
        <w:tblW w:w="0" w:type="auto"/>
        <w:tblLook w:val="04A0"/>
      </w:tblPr>
      <w:tblGrid>
        <w:gridCol w:w="4606"/>
      </w:tblGrid>
      <w:tr w:rsidR="00D556F5" w:rsidRPr="00801082" w:rsidTr="002A6C5E">
        <w:tc>
          <w:tcPr>
            <w:tcW w:w="4606" w:type="dxa"/>
          </w:tcPr>
          <w:p w:rsidR="00D556F5" w:rsidRPr="00801082" w:rsidRDefault="00D556F5" w:rsidP="002A6C5E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</w:p>
          <w:p w:rsidR="00D556F5" w:rsidRPr="00801082" w:rsidRDefault="00D556F5" w:rsidP="002A6C5E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>
              <w:rPr>
                <w:szCs w:val="24"/>
                <w:shd w:val="pct15" w:color="auto" w:fill="FFFFFF"/>
              </w:rPr>
              <w:t>Bevezetés</w:t>
            </w:r>
          </w:p>
          <w:p w:rsidR="00D556F5" w:rsidRPr="00801082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</w:tc>
      </w:tr>
      <w:tr w:rsidR="00D556F5" w:rsidRPr="00C54407" w:rsidTr="002A6C5E">
        <w:tc>
          <w:tcPr>
            <w:tcW w:w="4606" w:type="dxa"/>
          </w:tcPr>
          <w:p w:rsidR="00D556F5" w:rsidRPr="00C54407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  <w:p w:rsidR="00D556F5" w:rsidRDefault="00D556F5" w:rsidP="007615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Zsuzsa Bánk: </w:t>
            </w:r>
            <w:r w:rsidRPr="009E5609">
              <w:rPr>
                <w:i/>
                <w:szCs w:val="24"/>
              </w:rPr>
              <w:t xml:space="preserve">Der </w:t>
            </w:r>
            <w:proofErr w:type="spellStart"/>
            <w:r w:rsidRPr="009E5609">
              <w:rPr>
                <w:i/>
                <w:szCs w:val="24"/>
              </w:rPr>
              <w:t>Schwimmer</w:t>
            </w:r>
            <w:proofErr w:type="spellEnd"/>
            <w:r>
              <w:rPr>
                <w:szCs w:val="24"/>
              </w:rPr>
              <w:t xml:space="preserve"> (részlet)</w:t>
            </w:r>
          </w:p>
          <w:p w:rsidR="00D556F5" w:rsidRPr="0076155A" w:rsidRDefault="00D556F5" w:rsidP="0076155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rész</w:t>
            </w:r>
          </w:p>
          <w:p w:rsidR="00D556F5" w:rsidRPr="00C54407" w:rsidRDefault="00D556F5" w:rsidP="002A6C5E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</w:p>
        </w:tc>
      </w:tr>
      <w:tr w:rsidR="00D556F5" w:rsidTr="002A6C5E">
        <w:tc>
          <w:tcPr>
            <w:tcW w:w="4606" w:type="dxa"/>
          </w:tcPr>
          <w:p w:rsidR="00D556F5" w:rsidRDefault="00D556F5" w:rsidP="00AC4F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Zsuzsa Bánk: </w:t>
            </w:r>
            <w:r w:rsidRPr="009E5609">
              <w:rPr>
                <w:i/>
                <w:szCs w:val="24"/>
              </w:rPr>
              <w:t xml:space="preserve">Der </w:t>
            </w:r>
            <w:proofErr w:type="spellStart"/>
            <w:r w:rsidRPr="009E5609">
              <w:rPr>
                <w:i/>
                <w:szCs w:val="24"/>
              </w:rPr>
              <w:t>Schwimmer</w:t>
            </w:r>
            <w:proofErr w:type="spellEnd"/>
            <w:r>
              <w:rPr>
                <w:szCs w:val="24"/>
              </w:rPr>
              <w:t xml:space="preserve"> (részlet)</w:t>
            </w:r>
          </w:p>
          <w:p w:rsidR="00D556F5" w:rsidRDefault="00D556F5" w:rsidP="00AC4F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 rész</w:t>
            </w:r>
          </w:p>
          <w:p w:rsidR="00D556F5" w:rsidRDefault="00D556F5" w:rsidP="007615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556F5" w:rsidTr="002A6C5E">
        <w:tc>
          <w:tcPr>
            <w:tcW w:w="4606" w:type="dxa"/>
          </w:tcPr>
          <w:p w:rsidR="00D556F5" w:rsidRDefault="00D556F5" w:rsidP="00AC4F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Ágota </w:t>
            </w:r>
            <w:proofErr w:type="spellStart"/>
            <w:r>
              <w:rPr>
                <w:szCs w:val="24"/>
              </w:rPr>
              <w:t>Kristof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 w:rsidRPr="009E5609">
              <w:rPr>
                <w:i/>
                <w:szCs w:val="24"/>
              </w:rPr>
              <w:t>Das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große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Heft</w:t>
            </w:r>
            <w:proofErr w:type="spellEnd"/>
            <w:r>
              <w:rPr>
                <w:szCs w:val="24"/>
              </w:rPr>
              <w:t xml:space="preserve"> (részlet)</w:t>
            </w:r>
          </w:p>
          <w:p w:rsidR="00D556F5" w:rsidRPr="00AC4FCB" w:rsidRDefault="00D556F5" w:rsidP="00AC4FC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rész</w:t>
            </w:r>
          </w:p>
          <w:p w:rsidR="00D556F5" w:rsidRDefault="00D556F5" w:rsidP="00AC4F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556F5" w:rsidTr="002A6C5E">
        <w:tc>
          <w:tcPr>
            <w:tcW w:w="4606" w:type="dxa"/>
          </w:tcPr>
          <w:p w:rsidR="00D556F5" w:rsidRDefault="00D556F5" w:rsidP="00AC4F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Ágota </w:t>
            </w:r>
            <w:proofErr w:type="spellStart"/>
            <w:r>
              <w:rPr>
                <w:szCs w:val="24"/>
              </w:rPr>
              <w:t>Kristof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 w:rsidRPr="009E5609">
              <w:rPr>
                <w:i/>
                <w:szCs w:val="24"/>
              </w:rPr>
              <w:t>Das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große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Heft</w:t>
            </w:r>
            <w:proofErr w:type="spellEnd"/>
            <w:r>
              <w:rPr>
                <w:szCs w:val="24"/>
              </w:rPr>
              <w:t xml:space="preserve"> (részlet)</w:t>
            </w:r>
          </w:p>
          <w:p w:rsidR="00D556F5" w:rsidRPr="00AC4FCB" w:rsidRDefault="00D556F5" w:rsidP="00AC4FCB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 w:rsidRPr="00AC4FCB">
              <w:rPr>
                <w:szCs w:val="24"/>
                <w:shd w:val="pct15" w:color="auto" w:fill="FFFFFF"/>
              </w:rPr>
              <w:t>rész</w:t>
            </w:r>
          </w:p>
          <w:p w:rsidR="00D556F5" w:rsidRDefault="00D556F5" w:rsidP="00AC4F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556F5" w:rsidRPr="00C54407" w:rsidTr="002A6C5E">
        <w:tc>
          <w:tcPr>
            <w:tcW w:w="4606" w:type="dxa"/>
          </w:tcPr>
          <w:p w:rsidR="00D556F5" w:rsidRDefault="00D556F5" w:rsidP="007615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556F5" w:rsidRPr="00AC4FCB" w:rsidRDefault="00D556F5" w:rsidP="00AC4FC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 w:rsidRPr="00AC4FCB">
              <w:rPr>
                <w:b/>
                <w:szCs w:val="24"/>
              </w:rPr>
              <w:t>nincs oktatás, ünnepnap</w:t>
            </w:r>
          </w:p>
        </w:tc>
      </w:tr>
      <w:tr w:rsidR="00D556F5" w:rsidRPr="002A6857" w:rsidTr="002A6C5E">
        <w:tc>
          <w:tcPr>
            <w:tcW w:w="4606" w:type="dxa"/>
          </w:tcPr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esszé</w:t>
            </w:r>
            <w:r w:rsidRPr="00F378E9">
              <w:rPr>
                <w:b/>
                <w:szCs w:val="24"/>
              </w:rPr>
              <w:t xml:space="preserve"> #1</w:t>
            </w:r>
            <w:r>
              <w:rPr>
                <w:szCs w:val="24"/>
              </w:rPr>
              <w:t xml:space="preserve"> („</w:t>
            </w:r>
            <w:r w:rsidRPr="00F378E9">
              <w:rPr>
                <w:i/>
                <w:szCs w:val="24"/>
              </w:rPr>
              <w:t xml:space="preserve">Der </w:t>
            </w:r>
            <w:proofErr w:type="spellStart"/>
            <w:r w:rsidRPr="00F378E9">
              <w:rPr>
                <w:i/>
                <w:szCs w:val="24"/>
              </w:rPr>
              <w:t>Schwimmer</w:t>
            </w:r>
            <w:proofErr w:type="spellEnd"/>
            <w:r>
              <w:rPr>
                <w:i/>
                <w:szCs w:val="24"/>
              </w:rPr>
              <w:t>”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  <w:u w:val="single"/>
              </w:rPr>
              <w:t>vagy</w:t>
            </w:r>
            <w:r>
              <w:rPr>
                <w:szCs w:val="24"/>
              </w:rPr>
              <w:t xml:space="preserve"> „</w:t>
            </w:r>
            <w:proofErr w:type="spellStart"/>
            <w:r w:rsidRPr="00F378E9">
              <w:rPr>
                <w:i/>
                <w:szCs w:val="24"/>
              </w:rPr>
              <w:t>Das</w:t>
            </w:r>
            <w:proofErr w:type="spellEnd"/>
            <w:r w:rsidRPr="00F378E9">
              <w:rPr>
                <w:i/>
                <w:szCs w:val="24"/>
              </w:rPr>
              <w:t xml:space="preserve"> </w:t>
            </w:r>
            <w:proofErr w:type="spellStart"/>
            <w:r w:rsidRPr="00F378E9">
              <w:rPr>
                <w:i/>
                <w:szCs w:val="24"/>
              </w:rPr>
              <w:t>große</w:t>
            </w:r>
            <w:proofErr w:type="spellEnd"/>
            <w:r w:rsidRPr="00F378E9">
              <w:rPr>
                <w:i/>
                <w:szCs w:val="24"/>
              </w:rPr>
              <w:t xml:space="preserve"> </w:t>
            </w:r>
            <w:proofErr w:type="spellStart"/>
            <w:r w:rsidRPr="00F378E9">
              <w:rPr>
                <w:i/>
                <w:szCs w:val="24"/>
              </w:rPr>
              <w:t>Heft</w:t>
            </w:r>
            <w:proofErr w:type="spellEnd"/>
            <w:r>
              <w:rPr>
                <w:i/>
                <w:szCs w:val="24"/>
              </w:rPr>
              <w:t>”</w:t>
            </w:r>
            <w:r>
              <w:rPr>
                <w:szCs w:val="24"/>
              </w:rPr>
              <w:t>)</w:t>
            </w:r>
          </w:p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556F5" w:rsidRPr="002A6857" w:rsidRDefault="00D556F5" w:rsidP="00D556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</w:t>
            </w:r>
          </w:p>
        </w:tc>
      </w:tr>
      <w:tr w:rsidR="00D556F5" w:rsidRPr="00C54407" w:rsidTr="002A6C5E">
        <w:tc>
          <w:tcPr>
            <w:tcW w:w="4606" w:type="dxa"/>
          </w:tcPr>
          <w:p w:rsidR="00D556F5" w:rsidRPr="009E5609" w:rsidRDefault="00D556F5" w:rsidP="007878F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Konzultációs hét</w:t>
            </w:r>
          </w:p>
        </w:tc>
      </w:tr>
      <w:tr w:rsidR="00D556F5" w:rsidTr="002A6C5E">
        <w:tc>
          <w:tcPr>
            <w:tcW w:w="4606" w:type="dxa"/>
          </w:tcPr>
          <w:p w:rsidR="00D556F5" w:rsidRPr="00AC4FCB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szCs w:val="24"/>
                <w:highlight w:val="lightGray"/>
              </w:rPr>
              <w:t>Dolgozat</w:t>
            </w:r>
            <w:r w:rsidRPr="009E5609">
              <w:rPr>
                <w:b/>
                <w:szCs w:val="24"/>
                <w:highlight w:val="lightGray"/>
              </w:rPr>
              <w:t xml:space="preserve"> #1</w:t>
            </w:r>
          </w:p>
        </w:tc>
      </w:tr>
      <w:tr w:rsidR="00D556F5" w:rsidTr="002A6C5E">
        <w:tc>
          <w:tcPr>
            <w:tcW w:w="4606" w:type="dxa"/>
          </w:tcPr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5489">
              <w:rPr>
                <w:szCs w:val="24"/>
              </w:rPr>
              <w:t xml:space="preserve">Melinda </w:t>
            </w:r>
            <w:proofErr w:type="spellStart"/>
            <w:r w:rsidRPr="00135489">
              <w:rPr>
                <w:szCs w:val="24"/>
              </w:rPr>
              <w:t>Nadj</w:t>
            </w:r>
            <w:proofErr w:type="spellEnd"/>
            <w:r w:rsidRPr="00135489">
              <w:rPr>
                <w:szCs w:val="24"/>
              </w:rPr>
              <w:t xml:space="preserve"> </w:t>
            </w:r>
            <w:proofErr w:type="spellStart"/>
            <w:r w:rsidRPr="00135489">
              <w:rPr>
                <w:szCs w:val="24"/>
              </w:rPr>
              <w:t>Abonji</w:t>
            </w:r>
            <w:proofErr w:type="spellEnd"/>
            <w:r w:rsidRPr="0013548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Tauben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fliegen</w:t>
            </w:r>
            <w:proofErr w:type="spellEnd"/>
            <w:r w:rsidRPr="009E5609">
              <w:rPr>
                <w:i/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auf</w:t>
            </w:r>
            <w:proofErr w:type="spellEnd"/>
          </w:p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(részlet)</w:t>
            </w:r>
          </w:p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556F5" w:rsidTr="002A6C5E">
        <w:tc>
          <w:tcPr>
            <w:tcW w:w="4606" w:type="dxa"/>
          </w:tcPr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135489">
              <w:rPr>
                <w:szCs w:val="24"/>
              </w:rPr>
              <w:t>Julya</w:t>
            </w:r>
            <w:proofErr w:type="spellEnd"/>
            <w:r w:rsidRPr="00135489">
              <w:rPr>
                <w:szCs w:val="24"/>
              </w:rPr>
              <w:t xml:space="preserve"> </w:t>
            </w:r>
            <w:proofErr w:type="spellStart"/>
            <w:r w:rsidRPr="00135489">
              <w:rPr>
                <w:szCs w:val="24"/>
              </w:rPr>
              <w:t>Rabinowich</w:t>
            </w:r>
            <w:proofErr w:type="spellEnd"/>
            <w:r w:rsidRPr="00135489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proofErr w:type="spellStart"/>
            <w:r w:rsidRPr="009E5609">
              <w:rPr>
                <w:i/>
                <w:szCs w:val="24"/>
              </w:rPr>
              <w:t>Spaltkopf</w:t>
            </w:r>
            <w:proofErr w:type="spellEnd"/>
            <w:r>
              <w:rPr>
                <w:szCs w:val="24"/>
              </w:rPr>
              <w:t xml:space="preserve"> (részlet)</w:t>
            </w:r>
          </w:p>
          <w:p w:rsidR="00D556F5" w:rsidRDefault="00D556F5" w:rsidP="007878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556F5" w:rsidTr="002A6C5E">
        <w:tc>
          <w:tcPr>
            <w:tcW w:w="4606" w:type="dxa"/>
          </w:tcPr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esszé</w:t>
            </w:r>
            <w:r w:rsidRPr="00801082">
              <w:rPr>
                <w:b/>
                <w:szCs w:val="24"/>
              </w:rPr>
              <w:t xml:space="preserve"> #2</w:t>
            </w:r>
            <w:r>
              <w:rPr>
                <w:szCs w:val="24"/>
              </w:rPr>
              <w:t>: („</w:t>
            </w:r>
            <w:proofErr w:type="spellStart"/>
            <w:r w:rsidRPr="00C938F3">
              <w:rPr>
                <w:i/>
                <w:szCs w:val="24"/>
              </w:rPr>
              <w:t>Spaltkopf</w:t>
            </w:r>
            <w:proofErr w:type="spellEnd"/>
            <w:r>
              <w:rPr>
                <w:szCs w:val="24"/>
              </w:rPr>
              <w:t xml:space="preserve">” </w:t>
            </w:r>
            <w:r>
              <w:rPr>
                <w:b/>
                <w:szCs w:val="24"/>
                <w:u w:val="single"/>
              </w:rPr>
              <w:t>vagy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„</w:t>
            </w:r>
            <w:proofErr w:type="spellStart"/>
            <w:r>
              <w:rPr>
                <w:i/>
                <w:szCs w:val="24"/>
              </w:rPr>
              <w:t>Tauben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fliegen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auf</w:t>
            </w:r>
            <w:proofErr w:type="spellEnd"/>
            <w:r>
              <w:rPr>
                <w:i/>
                <w:szCs w:val="24"/>
              </w:rPr>
              <w:t>”</w:t>
            </w:r>
            <w:r>
              <w:rPr>
                <w:szCs w:val="24"/>
              </w:rPr>
              <w:t>)</w:t>
            </w:r>
          </w:p>
          <w:p w:rsidR="00D556F5" w:rsidRDefault="00D556F5" w:rsidP="002A6C5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556F5" w:rsidRDefault="00D556F5" w:rsidP="00D556F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556F5" w:rsidRPr="00833365" w:rsidTr="002A6C5E">
        <w:tc>
          <w:tcPr>
            <w:tcW w:w="4606" w:type="dxa"/>
          </w:tcPr>
          <w:p w:rsidR="00D556F5" w:rsidRPr="00833365" w:rsidRDefault="00D556F5" w:rsidP="007878F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highlight w:val="lightGray"/>
              </w:rPr>
              <w:t>Dolgozat</w:t>
            </w:r>
            <w:r w:rsidRPr="009E5609">
              <w:rPr>
                <w:b/>
                <w:szCs w:val="24"/>
                <w:highlight w:val="lightGray"/>
              </w:rPr>
              <w:t xml:space="preserve"> #2</w:t>
            </w:r>
          </w:p>
        </w:tc>
      </w:tr>
      <w:tr w:rsidR="00D556F5" w:rsidRPr="00C938F3" w:rsidTr="002A6C5E">
        <w:tc>
          <w:tcPr>
            <w:tcW w:w="4606" w:type="dxa"/>
          </w:tcPr>
          <w:p w:rsidR="00D556F5" w:rsidRPr="00C938F3" w:rsidRDefault="00D556F5" w:rsidP="007878F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r>
              <w:rPr>
                <w:b/>
                <w:szCs w:val="24"/>
                <w:shd w:val="pct15" w:color="auto" w:fill="FFFFFF"/>
              </w:rPr>
              <w:t>Értékelés, félévlezárás</w:t>
            </w:r>
          </w:p>
        </w:tc>
      </w:tr>
    </w:tbl>
    <w:p w:rsidR="0076155A" w:rsidRDefault="0076155A" w:rsidP="00C7398F">
      <w:pPr>
        <w:autoSpaceDE w:val="0"/>
        <w:autoSpaceDN w:val="0"/>
        <w:adjustRightInd w:val="0"/>
        <w:jc w:val="both"/>
        <w:rPr>
          <w:szCs w:val="24"/>
        </w:rPr>
      </w:pPr>
    </w:p>
    <w:p w:rsidR="00DA5157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Olvasmánylista:</w:t>
      </w:r>
    </w:p>
    <w:p w:rsidR="00DA5157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  <w:r w:rsidRPr="000F1CB3">
        <w:rPr>
          <w:sz w:val="21"/>
          <w:szCs w:val="24"/>
        </w:rPr>
        <w:t xml:space="preserve">Zsuzsa Bánk: </w:t>
      </w:r>
      <w:r w:rsidRPr="000F1CB3">
        <w:rPr>
          <w:i/>
          <w:sz w:val="21"/>
          <w:szCs w:val="24"/>
        </w:rPr>
        <w:t xml:space="preserve">Der </w:t>
      </w:r>
      <w:proofErr w:type="spellStart"/>
      <w:r w:rsidRPr="000F1CB3">
        <w:rPr>
          <w:i/>
          <w:sz w:val="21"/>
          <w:szCs w:val="24"/>
        </w:rPr>
        <w:t>Schwimmer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 xml:space="preserve">, 2018. </w:t>
      </w:r>
      <w:r w:rsidRPr="000F1CB3">
        <w:rPr>
          <w:b/>
          <w:sz w:val="21"/>
          <w:szCs w:val="24"/>
          <w:shd w:val="pct15" w:color="auto" w:fill="FFFFFF"/>
        </w:rPr>
        <w:t>S. 104-112.</w:t>
      </w: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sz w:val="21"/>
          <w:szCs w:val="24"/>
        </w:rPr>
      </w:pPr>
      <w:r w:rsidRPr="000F1CB3">
        <w:rPr>
          <w:sz w:val="21"/>
          <w:szCs w:val="24"/>
        </w:rPr>
        <w:t xml:space="preserve">Ágota </w:t>
      </w:r>
      <w:proofErr w:type="spellStart"/>
      <w:r w:rsidRPr="000F1CB3">
        <w:rPr>
          <w:sz w:val="21"/>
          <w:szCs w:val="24"/>
        </w:rPr>
        <w:t>Kristof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Das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große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Heft</w:t>
      </w:r>
      <w:proofErr w:type="spellEnd"/>
      <w:r w:rsidRPr="000F1CB3">
        <w:rPr>
          <w:sz w:val="21"/>
          <w:szCs w:val="24"/>
        </w:rPr>
        <w:t>.</w:t>
      </w:r>
      <w:r w:rsidRPr="000F1CB3">
        <w:rPr>
          <w:b/>
          <w:sz w:val="21"/>
          <w:szCs w:val="24"/>
        </w:rPr>
        <w:t xml:space="preserve">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14-20.</w:t>
      </w: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sz w:val="21"/>
          <w:szCs w:val="24"/>
        </w:rPr>
      </w:pPr>
      <w:r w:rsidRPr="000F1CB3">
        <w:rPr>
          <w:sz w:val="21"/>
          <w:szCs w:val="24"/>
        </w:rPr>
        <w:t xml:space="preserve">Melinda </w:t>
      </w:r>
      <w:proofErr w:type="spellStart"/>
      <w:r w:rsidRPr="000F1CB3">
        <w:rPr>
          <w:sz w:val="21"/>
          <w:szCs w:val="24"/>
        </w:rPr>
        <w:t>Nadj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Abonji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Tauben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fliegen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auf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134-141.</w:t>
      </w: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76155A" w:rsidRPr="000F1CB3" w:rsidRDefault="0076155A" w:rsidP="0076155A">
      <w:pPr>
        <w:autoSpaceDE w:val="0"/>
        <w:autoSpaceDN w:val="0"/>
        <w:adjustRightInd w:val="0"/>
        <w:jc w:val="both"/>
        <w:rPr>
          <w:sz w:val="21"/>
          <w:szCs w:val="24"/>
        </w:rPr>
      </w:pPr>
      <w:proofErr w:type="spellStart"/>
      <w:r w:rsidRPr="000F1CB3">
        <w:rPr>
          <w:sz w:val="21"/>
          <w:szCs w:val="24"/>
        </w:rPr>
        <w:t>Julya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Rabinowich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Spaltkopf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60-66.</w:t>
      </w:r>
    </w:p>
    <w:p w:rsidR="00DA5157" w:rsidRPr="009E52C2" w:rsidRDefault="00DA5157" w:rsidP="00C7398F">
      <w:pPr>
        <w:autoSpaceDE w:val="0"/>
        <w:autoSpaceDN w:val="0"/>
        <w:adjustRightInd w:val="0"/>
        <w:jc w:val="both"/>
        <w:rPr>
          <w:szCs w:val="24"/>
        </w:rPr>
      </w:pPr>
    </w:p>
    <w:sectPr w:rsidR="00DA5157" w:rsidRPr="009E52C2" w:rsidSect="00C739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33"/>
    <w:multiLevelType w:val="hybridMultilevel"/>
    <w:tmpl w:val="DCE037B2"/>
    <w:lvl w:ilvl="0" w:tplc="5328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57A2C"/>
    <w:multiLevelType w:val="hybridMultilevel"/>
    <w:tmpl w:val="E2965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3C9"/>
    <w:multiLevelType w:val="hybridMultilevel"/>
    <w:tmpl w:val="7974D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CC8"/>
    <w:rsid w:val="000E4229"/>
    <w:rsid w:val="000F3D55"/>
    <w:rsid w:val="001025CD"/>
    <w:rsid w:val="00116DE5"/>
    <w:rsid w:val="00145FF6"/>
    <w:rsid w:val="001857B8"/>
    <w:rsid w:val="00193E0F"/>
    <w:rsid w:val="00276566"/>
    <w:rsid w:val="002C012B"/>
    <w:rsid w:val="003D0D72"/>
    <w:rsid w:val="003E4946"/>
    <w:rsid w:val="004627AE"/>
    <w:rsid w:val="00503569"/>
    <w:rsid w:val="00512F87"/>
    <w:rsid w:val="005D78EC"/>
    <w:rsid w:val="00660FB3"/>
    <w:rsid w:val="00662D35"/>
    <w:rsid w:val="00687A57"/>
    <w:rsid w:val="006B7434"/>
    <w:rsid w:val="006C1A4A"/>
    <w:rsid w:val="00721DF6"/>
    <w:rsid w:val="00730189"/>
    <w:rsid w:val="0075073E"/>
    <w:rsid w:val="0076155A"/>
    <w:rsid w:val="00784732"/>
    <w:rsid w:val="007878F1"/>
    <w:rsid w:val="007E1CC8"/>
    <w:rsid w:val="0081312B"/>
    <w:rsid w:val="00833365"/>
    <w:rsid w:val="00972E71"/>
    <w:rsid w:val="00987479"/>
    <w:rsid w:val="009E52C2"/>
    <w:rsid w:val="00AC4FCB"/>
    <w:rsid w:val="00AD7D64"/>
    <w:rsid w:val="00B04E33"/>
    <w:rsid w:val="00B635DB"/>
    <w:rsid w:val="00B7077B"/>
    <w:rsid w:val="00C7398F"/>
    <w:rsid w:val="00D556F5"/>
    <w:rsid w:val="00D93048"/>
    <w:rsid w:val="00DA5157"/>
    <w:rsid w:val="00DD6F6B"/>
    <w:rsid w:val="00E63A11"/>
    <w:rsid w:val="00E8509F"/>
    <w:rsid w:val="00E9254D"/>
    <w:rsid w:val="00EB4645"/>
    <w:rsid w:val="00F37853"/>
    <w:rsid w:val="00FA2565"/>
    <w:rsid w:val="00FD20BF"/>
    <w:rsid w:val="00FF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1C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3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F3D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D5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2021-09-08T09:42:00Z</cp:lastPrinted>
  <dcterms:created xsi:type="dcterms:W3CDTF">2022-02-18T09:22:00Z</dcterms:created>
  <dcterms:modified xsi:type="dcterms:W3CDTF">2022-02-18T09:23:00Z</dcterms:modified>
</cp:coreProperties>
</file>