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01" w:rsidRPr="008152D1" w:rsidRDefault="004B5C01" w:rsidP="004B5C01">
      <w:pPr>
        <w:rPr>
          <w:rFonts w:ascii="Arial" w:hAnsi="Arial" w:cs="Arial"/>
          <w:b/>
          <w:iCs/>
          <w:sz w:val="32"/>
          <w:szCs w:val="32"/>
          <w:lang w:val="de-DE"/>
        </w:rPr>
      </w:pPr>
      <w:r w:rsidRPr="008152D1">
        <w:rPr>
          <w:rFonts w:ascii="Arial" w:hAnsi="Arial" w:cs="Arial"/>
          <w:b/>
          <w:iCs/>
          <w:sz w:val="32"/>
          <w:szCs w:val="32"/>
          <w:lang w:val="de-DE"/>
        </w:rPr>
        <w:t>Beschreibung der Lehrveranstaltung</w:t>
      </w:r>
    </w:p>
    <w:p w:rsidR="004B5C01" w:rsidRPr="008152D1" w:rsidRDefault="004B5C01" w:rsidP="004B5C01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1410"/>
        <w:gridCol w:w="2274"/>
        <w:gridCol w:w="3394"/>
      </w:tblGrid>
      <w:tr w:rsidR="0064131D" w:rsidRPr="008152D1" w:rsidTr="00E25337">
        <w:trPr>
          <w:gridAfter w:val="3"/>
          <w:wAfter w:w="7078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1D" w:rsidRPr="008152D1" w:rsidRDefault="0064131D" w:rsidP="00F4783F">
            <w:pPr>
              <w:rPr>
                <w:b/>
                <w:lang w:val="de-DE"/>
              </w:rPr>
            </w:pPr>
            <w:r w:rsidRPr="008152D1">
              <w:rPr>
                <w:b/>
                <w:lang w:val="de-DE"/>
              </w:rPr>
              <w:t>Wochenstunden:</w:t>
            </w:r>
          </w:p>
          <w:p w:rsidR="0064131D" w:rsidRPr="008152D1" w:rsidRDefault="0064131D" w:rsidP="00F4783F">
            <w:pPr>
              <w:rPr>
                <w:lang w:val="de-DE"/>
              </w:rPr>
            </w:pPr>
            <w:r w:rsidRPr="008152D1">
              <w:rPr>
                <w:lang w:val="de-DE"/>
              </w:rPr>
              <w:t>2</w:t>
            </w:r>
          </w:p>
        </w:tc>
      </w:tr>
      <w:tr w:rsidR="00B42C68" w:rsidRPr="008152D1" w:rsidTr="00E25337"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68" w:rsidRPr="008152D1" w:rsidRDefault="00B42C68" w:rsidP="00F4783F">
            <w:pPr>
              <w:rPr>
                <w:b/>
                <w:lang w:val="de-DE"/>
              </w:rPr>
            </w:pPr>
            <w:r w:rsidRPr="008152D1">
              <w:rPr>
                <w:b/>
                <w:lang w:val="de-DE"/>
              </w:rPr>
              <w:t>Titel der Lehrveranstaltung:</w:t>
            </w:r>
          </w:p>
          <w:p w:rsidR="00B42C68" w:rsidRPr="008152D1" w:rsidRDefault="00C92E24" w:rsidP="00F4783F">
            <w:pPr>
              <w:rPr>
                <w:lang w:val="de-DE"/>
              </w:rPr>
            </w:pPr>
            <w:r>
              <w:rPr>
                <w:lang w:val="de-DE"/>
              </w:rPr>
              <w:t>Interkulturalität 2</w:t>
            </w:r>
          </w:p>
          <w:p w:rsidR="00B42C68" w:rsidRPr="008152D1" w:rsidRDefault="00B42C68" w:rsidP="00602C37">
            <w:pPr>
              <w:rPr>
                <w:lang w:val="de-DE"/>
              </w:rPr>
            </w:pPr>
            <w:r w:rsidRPr="008152D1">
              <w:rPr>
                <w:b/>
                <w:lang w:val="de-DE"/>
              </w:rPr>
              <w:t>Thematik:</w:t>
            </w:r>
            <w:r w:rsidRPr="008152D1">
              <w:rPr>
                <w:lang w:val="de-DE"/>
              </w:rPr>
              <w:t xml:space="preserve"> </w:t>
            </w:r>
            <w:r w:rsidR="00C92E24" w:rsidRPr="00C92E24">
              <w:rPr>
                <w:i/>
                <w:lang w:val="de-DE"/>
              </w:rPr>
              <w:t>Kulturelle Transferprozesse am Beispiel des Nibelungen-Stoffes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8152D1" w:rsidRDefault="00B42C68" w:rsidP="00F4783F">
            <w:pPr>
              <w:rPr>
                <w:b/>
                <w:lang w:val="de-DE"/>
              </w:rPr>
            </w:pPr>
            <w:r w:rsidRPr="008152D1">
              <w:rPr>
                <w:b/>
                <w:lang w:val="de-DE"/>
              </w:rPr>
              <w:t>Art der Lehrveranstaltung:</w:t>
            </w:r>
          </w:p>
          <w:p w:rsidR="00B42C68" w:rsidRPr="008152D1" w:rsidRDefault="00B42C68" w:rsidP="00F4783F">
            <w:pPr>
              <w:rPr>
                <w:lang w:val="de-DE"/>
              </w:rPr>
            </w:pPr>
          </w:p>
          <w:p w:rsidR="00B42C68" w:rsidRPr="008152D1" w:rsidRDefault="00B42C68" w:rsidP="00F4783F">
            <w:pPr>
              <w:rPr>
                <w:lang w:val="de-DE"/>
              </w:rPr>
            </w:pPr>
            <w:r w:rsidRPr="008152D1">
              <w:rPr>
                <w:lang w:val="de-DE"/>
              </w:rPr>
              <w:t>Obligatorische</w:t>
            </w:r>
            <w:r w:rsidR="008152D1" w:rsidRPr="008152D1">
              <w:rPr>
                <w:lang w:val="de-DE"/>
              </w:rPr>
              <w:t>s Seminar</w:t>
            </w:r>
            <w:r w:rsidRPr="008152D1">
              <w:rPr>
                <w:lang w:val="de-DE"/>
              </w:rPr>
              <w:t xml:space="preserve"> </w:t>
            </w:r>
          </w:p>
        </w:tc>
      </w:tr>
      <w:tr w:rsidR="0064131D" w:rsidRPr="008152D1" w:rsidTr="00E25337">
        <w:trPr>
          <w:gridAfter w:val="2"/>
          <w:wAfter w:w="5668" w:type="dxa"/>
        </w:trPr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D" w:rsidRPr="008152D1" w:rsidRDefault="0064131D" w:rsidP="00F4783F">
            <w:pPr>
              <w:rPr>
                <w:lang w:val="de-DE"/>
              </w:rPr>
            </w:pPr>
            <w:r w:rsidRPr="008152D1">
              <w:rPr>
                <w:lang w:val="de-DE"/>
              </w:rPr>
              <w:t>Sprache: deutsch</w:t>
            </w:r>
          </w:p>
          <w:p w:rsidR="0064131D" w:rsidRPr="008152D1" w:rsidRDefault="0064131D" w:rsidP="00F4783F">
            <w:pPr>
              <w:rPr>
                <w:lang w:val="de-DE"/>
              </w:rPr>
            </w:pPr>
          </w:p>
        </w:tc>
      </w:tr>
      <w:tr w:rsidR="00B42C68" w:rsidRPr="008152D1" w:rsidTr="00E2533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8152D1" w:rsidRDefault="00B42C68" w:rsidP="00F4783F">
            <w:pPr>
              <w:rPr>
                <w:lang w:val="de-DE"/>
              </w:rPr>
            </w:pPr>
            <w:r w:rsidRPr="008152D1">
              <w:rPr>
                <w:lang w:val="de-DE"/>
              </w:rPr>
              <w:t xml:space="preserve">Form der Bewertung: </w:t>
            </w:r>
            <w:r w:rsidR="008152D1" w:rsidRPr="008152D1">
              <w:rPr>
                <w:lang w:val="de-DE"/>
              </w:rPr>
              <w:t>Seminarnote</w:t>
            </w:r>
            <w:r w:rsidRPr="008152D1">
              <w:rPr>
                <w:lang w:val="de-DE"/>
              </w:rPr>
              <w:t xml:space="preserve"> </w:t>
            </w:r>
          </w:p>
          <w:p w:rsidR="00B42C68" w:rsidRPr="008152D1" w:rsidRDefault="00B42C68" w:rsidP="00F4783F">
            <w:pPr>
              <w:rPr>
                <w:lang w:val="de-DE"/>
              </w:rPr>
            </w:pPr>
          </w:p>
        </w:tc>
      </w:tr>
      <w:tr w:rsidR="00B42C68" w:rsidRPr="008152D1" w:rsidTr="00E2533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8152D1" w:rsidRDefault="00B42C68" w:rsidP="00F4783F">
            <w:pPr>
              <w:rPr>
                <w:b/>
                <w:i/>
                <w:u w:val="single"/>
                <w:lang w:val="de-DE"/>
              </w:rPr>
            </w:pPr>
            <w:r w:rsidRPr="008152D1">
              <w:rPr>
                <w:b/>
                <w:i/>
                <w:u w:val="single"/>
                <w:lang w:val="de-DE"/>
              </w:rPr>
              <w:t>Beschreibung:</w:t>
            </w:r>
          </w:p>
          <w:p w:rsidR="00B42C68" w:rsidRPr="008152D1" w:rsidRDefault="00B42C68" w:rsidP="00F4783F">
            <w:pPr>
              <w:rPr>
                <w:b/>
                <w:i/>
                <w:u w:val="single"/>
                <w:lang w:val="de-DE"/>
              </w:rPr>
            </w:pPr>
          </w:p>
          <w:p w:rsidR="00D34FF6" w:rsidRDefault="00D34FF6" w:rsidP="00D34FF6">
            <w:pPr>
              <w:rPr>
                <w:lang w:val="de-DE"/>
              </w:rPr>
            </w:pPr>
            <w:r>
              <w:rPr>
                <w:lang w:val="de-DE"/>
              </w:rPr>
              <w:t xml:space="preserve">Das Seminar setzt sich zum Ziel, kulturelle Transferprozesse am Beispiel des Nibelungen-Stoffes zu untersuchen. </w:t>
            </w:r>
          </w:p>
          <w:p w:rsidR="00D34FF6" w:rsidRPr="00436BBE" w:rsidRDefault="00D34FF6" w:rsidP="00D34FF6">
            <w:pPr>
              <w:rPr>
                <w:lang w:val="de-DE"/>
              </w:rPr>
            </w:pPr>
          </w:p>
          <w:p w:rsidR="00D34FF6" w:rsidRDefault="00D34FF6" w:rsidP="00D34FF6">
            <w:pPr>
              <w:rPr>
                <w:lang w:val="de-DE"/>
              </w:rPr>
            </w:pPr>
            <w:r w:rsidRPr="00436BBE">
              <w:rPr>
                <w:lang w:val="de-DE"/>
              </w:rPr>
              <w:t>Folgende Themen werden behandelt:</w:t>
            </w:r>
          </w:p>
          <w:p w:rsidR="00D34FF6" w:rsidRDefault="00D34FF6" w:rsidP="00D34FF6">
            <w:pPr>
              <w:rPr>
                <w:lang w:val="de-DE"/>
              </w:rPr>
            </w:pPr>
            <w:r>
              <w:rPr>
                <w:lang w:val="de-DE"/>
              </w:rPr>
              <w:t xml:space="preserve">1. </w:t>
            </w:r>
            <w:r w:rsidRPr="00436BBE">
              <w:rPr>
                <w:lang w:val="de-DE"/>
              </w:rPr>
              <w:t>Einführung, Orientierung</w:t>
            </w:r>
          </w:p>
          <w:p w:rsidR="00D34FF6" w:rsidRDefault="00D34FF6" w:rsidP="00D34FF6">
            <w:pPr>
              <w:rPr>
                <w:lang w:val="de-DE"/>
              </w:rPr>
            </w:pPr>
            <w:r>
              <w:rPr>
                <w:lang w:val="de-DE"/>
              </w:rPr>
              <w:t>2. Nibelungenlied vs. Nibelungenstoff</w:t>
            </w:r>
          </w:p>
          <w:p w:rsidR="00D34FF6" w:rsidRPr="00436BBE" w:rsidRDefault="00D34FF6" w:rsidP="00D34FF6">
            <w:pPr>
              <w:rPr>
                <w:lang w:val="de-DE"/>
              </w:rPr>
            </w:pPr>
            <w:r>
              <w:rPr>
                <w:lang w:val="de-DE"/>
              </w:rPr>
              <w:t xml:space="preserve">3. </w:t>
            </w:r>
            <w:r w:rsidRPr="00436BBE">
              <w:rPr>
                <w:lang w:val="de-DE"/>
              </w:rPr>
              <w:t>Das Nibelungenlied - ein deutsches Nationalepos? Einblicke in die Rezeptionsgeschichte</w:t>
            </w:r>
          </w:p>
          <w:p w:rsidR="00D34FF6" w:rsidRDefault="00D34FF6" w:rsidP="00D34FF6">
            <w:pPr>
              <w:rPr>
                <w:lang w:val="de-DE"/>
              </w:rPr>
            </w:pPr>
            <w:r>
              <w:rPr>
                <w:lang w:val="de-DE"/>
              </w:rPr>
              <w:t xml:space="preserve">4. </w:t>
            </w:r>
            <w:r w:rsidRPr="00436BBE">
              <w:rPr>
                <w:lang w:val="de-DE"/>
              </w:rPr>
              <w:t>Das Nibelungenlied</w:t>
            </w:r>
            <w:r>
              <w:rPr>
                <w:lang w:val="de-DE"/>
              </w:rPr>
              <w:t xml:space="preserve"> (Aventüren 7, 10, 14, 36)</w:t>
            </w:r>
          </w:p>
          <w:p w:rsidR="00D34FF6" w:rsidRDefault="00D34FF6" w:rsidP="00D34FF6">
            <w:pPr>
              <w:rPr>
                <w:lang w:val="de-DE"/>
              </w:rPr>
            </w:pPr>
            <w:r>
              <w:rPr>
                <w:lang w:val="de-DE"/>
              </w:rPr>
              <w:t xml:space="preserve">5-6. Richard Wagners </w:t>
            </w:r>
            <w:r w:rsidRPr="00EC349E">
              <w:rPr>
                <w:i/>
                <w:iCs/>
                <w:lang w:val="de-DE"/>
              </w:rPr>
              <w:t>Der Ring des Nibelungen</w:t>
            </w:r>
            <w:r>
              <w:rPr>
                <w:lang w:val="de-DE"/>
              </w:rPr>
              <w:t xml:space="preserve"> </w:t>
            </w:r>
          </w:p>
          <w:p w:rsidR="00D34FF6" w:rsidRDefault="00D34FF6" w:rsidP="00D34FF6">
            <w:pPr>
              <w:rPr>
                <w:lang w:val="de-DE"/>
              </w:rPr>
            </w:pPr>
            <w:r>
              <w:rPr>
                <w:lang w:val="de-DE"/>
              </w:rPr>
              <w:t xml:space="preserve">7-8. </w:t>
            </w:r>
            <w:r w:rsidRPr="00EC349E">
              <w:rPr>
                <w:i/>
                <w:iCs/>
                <w:lang w:val="de-DE"/>
              </w:rPr>
              <w:t>Götterdämmerung</w:t>
            </w:r>
            <w:r w:rsidRPr="00436BBE">
              <w:rPr>
                <w:lang w:val="de-DE"/>
              </w:rPr>
              <w:t xml:space="preserve"> - Inszenierungen im Vergleich</w:t>
            </w:r>
          </w:p>
          <w:p w:rsidR="00D34FF6" w:rsidRDefault="00D34FF6" w:rsidP="00D34FF6">
            <w:pPr>
              <w:rPr>
                <w:lang w:val="de-DE"/>
              </w:rPr>
            </w:pPr>
            <w:r>
              <w:rPr>
                <w:lang w:val="de-DE"/>
              </w:rPr>
              <w:t xml:space="preserve">9. </w:t>
            </w:r>
            <w:r w:rsidRPr="00436BBE">
              <w:rPr>
                <w:lang w:val="de-DE"/>
              </w:rPr>
              <w:t xml:space="preserve">Moritz Rinke: </w:t>
            </w:r>
            <w:r w:rsidRPr="00EC349E">
              <w:rPr>
                <w:i/>
                <w:iCs/>
                <w:lang w:val="de-DE"/>
              </w:rPr>
              <w:t>Die Nibelungen</w:t>
            </w:r>
          </w:p>
          <w:p w:rsidR="00D34FF6" w:rsidRDefault="00D34FF6" w:rsidP="00D34FF6">
            <w:pPr>
              <w:rPr>
                <w:lang w:val="de-DE"/>
              </w:rPr>
            </w:pPr>
            <w:r>
              <w:rPr>
                <w:lang w:val="de-DE"/>
              </w:rPr>
              <w:t>10</w:t>
            </w:r>
            <w:r w:rsidRPr="00436BBE">
              <w:rPr>
                <w:lang w:val="de-DE"/>
              </w:rPr>
              <w:t>-1</w:t>
            </w:r>
            <w:r>
              <w:rPr>
                <w:lang w:val="de-DE"/>
              </w:rPr>
              <w:t>1</w:t>
            </w:r>
            <w:r w:rsidRPr="00436BBE">
              <w:rPr>
                <w:lang w:val="de-DE"/>
              </w:rPr>
              <w:t xml:space="preserve">. </w:t>
            </w:r>
            <w:proofErr w:type="spellStart"/>
            <w:r w:rsidRPr="00436BBE">
              <w:rPr>
                <w:lang w:val="de-DE"/>
              </w:rPr>
              <w:t>Térey</w:t>
            </w:r>
            <w:proofErr w:type="spellEnd"/>
            <w:r w:rsidRPr="00436BBE">
              <w:rPr>
                <w:lang w:val="de-DE"/>
              </w:rPr>
              <w:t xml:space="preserve"> </w:t>
            </w:r>
            <w:proofErr w:type="spellStart"/>
            <w:r w:rsidRPr="00436BBE">
              <w:rPr>
                <w:lang w:val="de-DE"/>
              </w:rPr>
              <w:t>János</w:t>
            </w:r>
            <w:proofErr w:type="spellEnd"/>
            <w:r w:rsidRPr="00436BBE">
              <w:rPr>
                <w:lang w:val="de-DE"/>
              </w:rPr>
              <w:t xml:space="preserve">: </w:t>
            </w:r>
            <w:r w:rsidRPr="00EC349E">
              <w:rPr>
                <w:i/>
                <w:iCs/>
                <w:lang w:val="de-DE"/>
              </w:rPr>
              <w:t xml:space="preserve">A </w:t>
            </w:r>
            <w:proofErr w:type="spellStart"/>
            <w:r w:rsidRPr="00EC349E">
              <w:rPr>
                <w:i/>
                <w:iCs/>
                <w:lang w:val="de-DE"/>
              </w:rPr>
              <w:t>Nibelung-lakópark</w:t>
            </w:r>
            <w:proofErr w:type="spellEnd"/>
          </w:p>
          <w:p w:rsidR="00D34FF6" w:rsidRDefault="00D34FF6" w:rsidP="00D34FF6">
            <w:pPr>
              <w:rPr>
                <w:lang w:val="de-DE"/>
              </w:rPr>
            </w:pPr>
            <w:r>
              <w:rPr>
                <w:lang w:val="de-DE"/>
              </w:rPr>
              <w:t xml:space="preserve">12. </w:t>
            </w:r>
            <w:proofErr w:type="spellStart"/>
            <w:r w:rsidRPr="00436BBE">
              <w:rPr>
                <w:lang w:val="de-DE"/>
              </w:rPr>
              <w:t>János</w:t>
            </w:r>
            <w:proofErr w:type="spellEnd"/>
            <w:r w:rsidRPr="00436BBE">
              <w:rPr>
                <w:lang w:val="de-DE"/>
              </w:rPr>
              <w:t xml:space="preserve"> </w:t>
            </w:r>
            <w:proofErr w:type="spellStart"/>
            <w:r w:rsidRPr="00436BBE">
              <w:rPr>
                <w:lang w:val="de-DE"/>
              </w:rPr>
              <w:t>Térey</w:t>
            </w:r>
            <w:proofErr w:type="spellEnd"/>
            <w:r w:rsidRPr="00436BBE">
              <w:rPr>
                <w:lang w:val="de-DE"/>
              </w:rPr>
              <w:t xml:space="preserve">: </w:t>
            </w:r>
            <w:r w:rsidRPr="00EC349E">
              <w:rPr>
                <w:i/>
                <w:iCs/>
                <w:lang w:val="de-DE"/>
              </w:rPr>
              <w:t>Nibelungen Wohnpark</w:t>
            </w:r>
            <w:r w:rsidRPr="00436BBE">
              <w:rPr>
                <w:lang w:val="de-DE"/>
              </w:rPr>
              <w:t xml:space="preserve">. Dritter Teil. Hagen, oder die </w:t>
            </w:r>
            <w:proofErr w:type="spellStart"/>
            <w:r w:rsidRPr="00436BBE">
              <w:rPr>
                <w:lang w:val="de-DE"/>
              </w:rPr>
              <w:t>Hassrede</w:t>
            </w:r>
            <w:proofErr w:type="spellEnd"/>
          </w:p>
          <w:p w:rsidR="00FC2250" w:rsidRPr="00D34FF6" w:rsidRDefault="00D34FF6" w:rsidP="00D34FF6">
            <w:pPr>
              <w:rPr>
                <w:lang w:val="de-DE"/>
              </w:rPr>
            </w:pPr>
            <w:r>
              <w:rPr>
                <w:lang w:val="de-DE"/>
              </w:rPr>
              <w:t>14. Zusammenfassung</w:t>
            </w:r>
          </w:p>
          <w:p w:rsidR="0082288B" w:rsidRPr="008152D1" w:rsidRDefault="0082288B" w:rsidP="0082288B">
            <w:pPr>
              <w:rPr>
                <w:lang w:val="de-DE"/>
              </w:rPr>
            </w:pPr>
          </w:p>
          <w:p w:rsidR="0082288B" w:rsidRPr="00D34FF6" w:rsidRDefault="0082288B" w:rsidP="0082288B">
            <w:pPr>
              <w:rPr>
                <w:b/>
                <w:bCs/>
                <w:i/>
                <w:iCs/>
                <w:u w:val="single"/>
                <w:lang w:val="de-DE"/>
              </w:rPr>
            </w:pPr>
            <w:r w:rsidRPr="00D34FF6">
              <w:rPr>
                <w:b/>
                <w:bCs/>
                <w:i/>
                <w:iCs/>
                <w:u w:val="single"/>
                <w:lang w:val="de-DE"/>
              </w:rPr>
              <w:t>Pflichtlektüre:</w:t>
            </w:r>
          </w:p>
          <w:p w:rsidR="00D34FF6" w:rsidRDefault="00D34FF6" w:rsidP="00D34FF6">
            <w:pPr>
              <w:rPr>
                <w:lang w:val="de-DE"/>
              </w:rPr>
            </w:pPr>
            <w:r w:rsidRPr="00854704">
              <w:rPr>
                <w:i/>
                <w:iCs/>
                <w:lang w:val="de-DE"/>
              </w:rPr>
              <w:t>Das Nibelungenlied</w:t>
            </w:r>
            <w:r>
              <w:rPr>
                <w:lang w:val="de-DE"/>
              </w:rPr>
              <w:t>. Stuttgart: Reclam 2020.</w:t>
            </w:r>
          </w:p>
          <w:p w:rsidR="00D34FF6" w:rsidRPr="00436BBE" w:rsidRDefault="00D34FF6" w:rsidP="00D34FF6">
            <w:pPr>
              <w:rPr>
                <w:lang w:val="de-DE"/>
              </w:rPr>
            </w:pPr>
            <w:r w:rsidRPr="00854704">
              <w:rPr>
                <w:i/>
                <w:iCs/>
                <w:lang w:val="de-DE"/>
              </w:rPr>
              <w:t xml:space="preserve">A </w:t>
            </w:r>
            <w:proofErr w:type="spellStart"/>
            <w:r w:rsidRPr="00854704">
              <w:rPr>
                <w:i/>
                <w:iCs/>
                <w:lang w:val="de-DE"/>
              </w:rPr>
              <w:t>Nibelung-ének</w:t>
            </w:r>
            <w:proofErr w:type="spellEnd"/>
            <w:r>
              <w:rPr>
                <w:lang w:val="de-DE"/>
              </w:rPr>
              <w:t xml:space="preserve">. </w:t>
            </w:r>
            <w:proofErr w:type="spellStart"/>
            <w:r w:rsidRPr="00436BBE">
              <w:rPr>
                <w:lang w:val="de-DE"/>
              </w:rPr>
              <w:t>Fordította</w:t>
            </w:r>
            <w:proofErr w:type="spellEnd"/>
            <w:r w:rsidRPr="00436BBE">
              <w:rPr>
                <w:lang w:val="de-DE"/>
              </w:rPr>
              <w:t xml:space="preserve"> </w:t>
            </w:r>
            <w:proofErr w:type="spellStart"/>
            <w:r w:rsidRPr="00436BBE">
              <w:rPr>
                <w:lang w:val="de-DE"/>
              </w:rPr>
              <w:t>és</w:t>
            </w:r>
            <w:proofErr w:type="spellEnd"/>
            <w:r w:rsidRPr="00436BBE">
              <w:rPr>
                <w:lang w:val="de-DE"/>
              </w:rPr>
              <w:t xml:space="preserve"> a </w:t>
            </w:r>
            <w:proofErr w:type="spellStart"/>
            <w:r w:rsidRPr="00436BBE">
              <w:rPr>
                <w:lang w:val="de-DE"/>
              </w:rPr>
              <w:t>magyarázatokat</w:t>
            </w:r>
            <w:proofErr w:type="spellEnd"/>
            <w:r w:rsidRPr="00436BBE">
              <w:rPr>
                <w:lang w:val="de-DE"/>
              </w:rPr>
              <w:t xml:space="preserve"> </w:t>
            </w:r>
            <w:proofErr w:type="spellStart"/>
            <w:r w:rsidRPr="00436BBE">
              <w:rPr>
                <w:lang w:val="de-DE"/>
              </w:rPr>
              <w:t>írta</w:t>
            </w:r>
            <w:proofErr w:type="spellEnd"/>
            <w:r w:rsidRPr="00436BBE">
              <w:rPr>
                <w:lang w:val="de-DE"/>
              </w:rPr>
              <w:t xml:space="preserve"> Marton Lász</w:t>
            </w:r>
            <w:r>
              <w:rPr>
                <w:lang w:val="de-DE"/>
              </w:rPr>
              <w:t xml:space="preserve">ló. Budapest: </w:t>
            </w:r>
            <w:proofErr w:type="spellStart"/>
            <w:r>
              <w:rPr>
                <w:lang w:val="de-DE"/>
              </w:rPr>
              <w:t>Kalligram</w:t>
            </w:r>
            <w:proofErr w:type="spellEnd"/>
            <w:r>
              <w:rPr>
                <w:lang w:val="de-DE"/>
              </w:rPr>
              <w:t xml:space="preserve"> 2020.</w:t>
            </w:r>
          </w:p>
          <w:p w:rsidR="00D34FF6" w:rsidRPr="00436BBE" w:rsidRDefault="00D34FF6" w:rsidP="00D34FF6">
            <w:pPr>
              <w:rPr>
                <w:lang w:val="de-DE"/>
              </w:rPr>
            </w:pPr>
            <w:r w:rsidRPr="00436BBE">
              <w:rPr>
                <w:lang w:val="de-DE"/>
              </w:rPr>
              <w:t xml:space="preserve">Rinke, Moritz: </w:t>
            </w:r>
            <w:r w:rsidRPr="00436BBE">
              <w:rPr>
                <w:i/>
                <w:lang w:val="de-DE"/>
              </w:rPr>
              <w:t>Die Nibelungen</w:t>
            </w:r>
            <w:r w:rsidRPr="00436BBE">
              <w:rPr>
                <w:lang w:val="de-DE"/>
              </w:rPr>
              <w:t>. Reinbek bei Hamburg: Rowohlt 2002.</w:t>
            </w:r>
          </w:p>
          <w:p w:rsidR="00D34FF6" w:rsidRPr="00D34FF6" w:rsidRDefault="00D34FF6" w:rsidP="00D34FF6">
            <w:pPr>
              <w:rPr>
                <w:lang w:val="en-US"/>
              </w:rPr>
            </w:pPr>
            <w:proofErr w:type="spellStart"/>
            <w:r w:rsidRPr="00D34FF6">
              <w:rPr>
                <w:lang w:val="en-US"/>
              </w:rPr>
              <w:t>Térey</w:t>
            </w:r>
            <w:proofErr w:type="spellEnd"/>
            <w:r w:rsidRPr="00D34FF6">
              <w:rPr>
                <w:lang w:val="en-US"/>
              </w:rPr>
              <w:t xml:space="preserve"> </w:t>
            </w:r>
            <w:proofErr w:type="spellStart"/>
            <w:r w:rsidRPr="00D34FF6">
              <w:rPr>
                <w:lang w:val="en-US"/>
              </w:rPr>
              <w:t>János</w:t>
            </w:r>
            <w:proofErr w:type="spellEnd"/>
            <w:r w:rsidRPr="00D34FF6">
              <w:rPr>
                <w:lang w:val="en-US"/>
              </w:rPr>
              <w:t xml:space="preserve">: </w:t>
            </w:r>
            <w:r w:rsidRPr="00D34FF6">
              <w:rPr>
                <w:i/>
                <w:lang w:val="en-US"/>
              </w:rPr>
              <w:t xml:space="preserve">A </w:t>
            </w:r>
            <w:proofErr w:type="spellStart"/>
            <w:r w:rsidRPr="00D34FF6">
              <w:rPr>
                <w:i/>
                <w:lang w:val="en-US"/>
              </w:rPr>
              <w:t>Nibelung-lakópark</w:t>
            </w:r>
            <w:proofErr w:type="spellEnd"/>
            <w:r w:rsidRPr="00D34FF6">
              <w:rPr>
                <w:i/>
                <w:lang w:val="en-US"/>
              </w:rPr>
              <w:t xml:space="preserve">. </w:t>
            </w:r>
            <w:proofErr w:type="spellStart"/>
            <w:r w:rsidRPr="00D34FF6">
              <w:rPr>
                <w:i/>
                <w:lang w:val="en-US"/>
              </w:rPr>
              <w:t>Fantázia</w:t>
            </w:r>
            <w:proofErr w:type="spellEnd"/>
            <w:r w:rsidRPr="00D34FF6">
              <w:rPr>
                <w:i/>
                <w:lang w:val="en-US"/>
              </w:rPr>
              <w:t xml:space="preserve"> Richard Wagner </w:t>
            </w:r>
            <w:proofErr w:type="spellStart"/>
            <w:r w:rsidRPr="00D34FF6">
              <w:rPr>
                <w:i/>
                <w:lang w:val="en-US"/>
              </w:rPr>
              <w:t>nyomán</w:t>
            </w:r>
            <w:proofErr w:type="spellEnd"/>
            <w:r w:rsidRPr="00D34FF6">
              <w:rPr>
                <w:i/>
                <w:lang w:val="en-US"/>
              </w:rPr>
              <w:t>.</w:t>
            </w:r>
            <w:r w:rsidRPr="00D34FF6">
              <w:rPr>
                <w:lang w:val="en-US"/>
              </w:rPr>
              <w:t xml:space="preserve"> Budapest: </w:t>
            </w:r>
            <w:proofErr w:type="spellStart"/>
            <w:r w:rsidRPr="00D34FF6">
              <w:rPr>
                <w:lang w:val="en-US"/>
              </w:rPr>
              <w:t>Magvető</w:t>
            </w:r>
            <w:proofErr w:type="spellEnd"/>
            <w:r w:rsidRPr="00D34FF6">
              <w:rPr>
                <w:lang w:val="en-US"/>
              </w:rPr>
              <w:t xml:space="preserve"> 2004.</w:t>
            </w:r>
          </w:p>
          <w:p w:rsidR="00D34FF6" w:rsidRPr="00436BBE" w:rsidRDefault="00D34FF6" w:rsidP="00D34FF6">
            <w:pPr>
              <w:rPr>
                <w:lang w:val="de-DE"/>
              </w:rPr>
            </w:pPr>
            <w:r w:rsidRPr="00436BBE">
              <w:rPr>
                <w:lang w:val="de-DE"/>
              </w:rPr>
              <w:t>Wagner, Richard:</w:t>
            </w:r>
            <w:r w:rsidRPr="00436BBE">
              <w:rPr>
                <w:i/>
                <w:lang w:val="de-DE"/>
              </w:rPr>
              <w:t xml:space="preserve"> Götterdämmerung.</w:t>
            </w:r>
            <w:r w:rsidRPr="00436BBE">
              <w:rPr>
                <w:lang w:val="de-DE"/>
              </w:rPr>
              <w:t xml:space="preserve"> Stuttgart: Reclam 1997.</w:t>
            </w:r>
          </w:p>
          <w:p w:rsidR="00D34FF6" w:rsidRPr="00436BBE" w:rsidRDefault="00D34FF6" w:rsidP="00D34FF6">
            <w:pPr>
              <w:rPr>
                <w:lang w:val="de-DE"/>
              </w:rPr>
            </w:pPr>
            <w:proofErr w:type="spellStart"/>
            <w:r w:rsidRPr="00436BBE">
              <w:rPr>
                <w:lang w:val="de-DE"/>
              </w:rPr>
              <w:t>Heinzle</w:t>
            </w:r>
            <w:proofErr w:type="spellEnd"/>
            <w:r w:rsidRPr="00436BBE">
              <w:rPr>
                <w:lang w:val="de-DE"/>
              </w:rPr>
              <w:t>, Joachim / Waldschmidt, Anneliese (</w:t>
            </w:r>
            <w:proofErr w:type="spellStart"/>
            <w:r w:rsidRPr="00436BBE">
              <w:rPr>
                <w:lang w:val="de-DE"/>
              </w:rPr>
              <w:t>Hg</w:t>
            </w:r>
            <w:proofErr w:type="spellEnd"/>
            <w:r w:rsidRPr="00436BBE">
              <w:rPr>
                <w:lang w:val="de-DE"/>
              </w:rPr>
              <w:t xml:space="preserve">.): </w:t>
            </w:r>
            <w:r w:rsidRPr="00436BBE">
              <w:rPr>
                <w:i/>
                <w:lang w:val="de-DE"/>
              </w:rPr>
              <w:t>Die Nibelungen. Ein deutscher Wahn, ein deutscher Alptraum. Studien und Dokumente zur Rezeption des Nibelungenstoffs im 19. und 20. Jahrhundert.</w:t>
            </w:r>
            <w:r w:rsidRPr="00436BBE">
              <w:rPr>
                <w:lang w:val="de-DE"/>
              </w:rPr>
              <w:t xml:space="preserve"> Frankfurt/M: Suhrkamp 1991.</w:t>
            </w:r>
          </w:p>
          <w:p w:rsidR="00D34FF6" w:rsidRPr="00436BBE" w:rsidRDefault="00D34FF6" w:rsidP="00D34FF6">
            <w:pPr>
              <w:rPr>
                <w:lang w:val="de-DE"/>
              </w:rPr>
            </w:pPr>
            <w:proofErr w:type="spellStart"/>
            <w:r w:rsidRPr="00436BBE">
              <w:rPr>
                <w:lang w:val="de-DE"/>
              </w:rPr>
              <w:t>Kricsfalusi</w:t>
            </w:r>
            <w:proofErr w:type="spellEnd"/>
            <w:r w:rsidRPr="00436BBE">
              <w:rPr>
                <w:lang w:val="de-DE"/>
              </w:rPr>
              <w:t xml:space="preserve"> Beatrix: </w:t>
            </w:r>
            <w:r w:rsidRPr="00436BBE">
              <w:rPr>
                <w:i/>
                <w:lang w:val="de-DE"/>
              </w:rPr>
              <w:t xml:space="preserve">A </w:t>
            </w:r>
            <w:proofErr w:type="spellStart"/>
            <w:r w:rsidRPr="00436BBE">
              <w:rPr>
                <w:i/>
                <w:lang w:val="de-DE"/>
              </w:rPr>
              <w:t>tökéletes</w:t>
            </w:r>
            <w:proofErr w:type="spellEnd"/>
            <w:r w:rsidRPr="00436BBE">
              <w:rPr>
                <w:i/>
                <w:lang w:val="de-DE"/>
              </w:rPr>
              <w:t xml:space="preserve"> </w:t>
            </w:r>
            <w:proofErr w:type="spellStart"/>
            <w:r w:rsidRPr="00436BBE">
              <w:rPr>
                <w:i/>
                <w:lang w:val="de-DE"/>
              </w:rPr>
              <w:t>wagneriánus</w:t>
            </w:r>
            <w:proofErr w:type="spellEnd"/>
            <w:r w:rsidRPr="00436BBE">
              <w:rPr>
                <w:i/>
                <w:lang w:val="de-DE"/>
              </w:rPr>
              <w:t>(ok) (</w:t>
            </w:r>
            <w:proofErr w:type="spellStart"/>
            <w:r w:rsidRPr="00436BBE">
              <w:rPr>
                <w:i/>
                <w:lang w:val="de-DE"/>
              </w:rPr>
              <w:t>Térey</w:t>
            </w:r>
            <w:proofErr w:type="spellEnd"/>
            <w:r w:rsidRPr="00436BBE">
              <w:rPr>
                <w:i/>
                <w:lang w:val="de-DE"/>
              </w:rPr>
              <w:t xml:space="preserve"> </w:t>
            </w:r>
            <w:proofErr w:type="spellStart"/>
            <w:r w:rsidRPr="00436BBE">
              <w:rPr>
                <w:i/>
                <w:lang w:val="de-DE"/>
              </w:rPr>
              <w:t>János</w:t>
            </w:r>
            <w:proofErr w:type="spellEnd"/>
            <w:r w:rsidRPr="00436BBE">
              <w:rPr>
                <w:i/>
                <w:lang w:val="de-DE"/>
              </w:rPr>
              <w:t xml:space="preserve"> A </w:t>
            </w:r>
            <w:proofErr w:type="spellStart"/>
            <w:r w:rsidRPr="00436BBE">
              <w:rPr>
                <w:i/>
                <w:lang w:val="de-DE"/>
              </w:rPr>
              <w:t>Nibelung-lakópark</w:t>
            </w:r>
            <w:proofErr w:type="spellEnd"/>
            <w:r w:rsidRPr="00436BBE">
              <w:rPr>
                <w:i/>
                <w:lang w:val="de-DE"/>
              </w:rPr>
              <w:t xml:space="preserve"> </w:t>
            </w:r>
            <w:proofErr w:type="spellStart"/>
            <w:r w:rsidRPr="00436BBE">
              <w:rPr>
                <w:i/>
                <w:lang w:val="de-DE"/>
              </w:rPr>
              <w:t>című</w:t>
            </w:r>
            <w:proofErr w:type="spellEnd"/>
            <w:r w:rsidRPr="00436BBE">
              <w:rPr>
                <w:i/>
                <w:lang w:val="de-DE"/>
              </w:rPr>
              <w:t xml:space="preserve"> </w:t>
            </w:r>
            <w:proofErr w:type="spellStart"/>
            <w:r w:rsidRPr="00436BBE">
              <w:rPr>
                <w:i/>
                <w:lang w:val="de-DE"/>
              </w:rPr>
              <w:t>drámájáról</w:t>
            </w:r>
            <w:proofErr w:type="spellEnd"/>
            <w:r w:rsidRPr="00436BBE">
              <w:rPr>
                <w:lang w:val="de-DE"/>
              </w:rPr>
              <w:t xml:space="preserve">). In: </w:t>
            </w:r>
            <w:proofErr w:type="spellStart"/>
            <w:r w:rsidRPr="00436BBE">
              <w:rPr>
                <w:lang w:val="de-DE"/>
              </w:rPr>
              <w:t>Alföld</w:t>
            </w:r>
            <w:proofErr w:type="spellEnd"/>
            <w:r w:rsidRPr="00436BBE">
              <w:rPr>
                <w:lang w:val="de-DE"/>
              </w:rPr>
              <w:t>, 2007/2, 79-95.</w:t>
            </w:r>
          </w:p>
          <w:p w:rsidR="00B42C68" w:rsidRDefault="00B42C68" w:rsidP="0082288B">
            <w:pPr>
              <w:rPr>
                <w:lang w:val="de-DE"/>
              </w:rPr>
            </w:pPr>
          </w:p>
          <w:p w:rsidR="00D34FF6" w:rsidRPr="00436BBE" w:rsidRDefault="00D34FF6" w:rsidP="00D34FF6">
            <w:pPr>
              <w:rPr>
                <w:lang w:val="de-DE"/>
              </w:rPr>
            </w:pPr>
            <w:r w:rsidRPr="00436BBE">
              <w:rPr>
                <w:lang w:val="de-DE"/>
              </w:rPr>
              <w:t xml:space="preserve">Wagner, Richard: </w:t>
            </w:r>
            <w:r w:rsidRPr="00436BBE">
              <w:rPr>
                <w:i/>
                <w:lang w:val="de-DE"/>
              </w:rPr>
              <w:t>Götterdämmerung</w:t>
            </w:r>
            <w:r w:rsidRPr="00436BBE">
              <w:rPr>
                <w:lang w:val="de-DE"/>
              </w:rPr>
              <w:t>, R: Patrice Chereau, Bayreuther Festspiele, 1980.</w:t>
            </w:r>
          </w:p>
          <w:p w:rsidR="00D34FF6" w:rsidRPr="00436BBE" w:rsidRDefault="00D34FF6" w:rsidP="00D34FF6">
            <w:pPr>
              <w:rPr>
                <w:lang w:val="de-DE"/>
              </w:rPr>
            </w:pPr>
            <w:r w:rsidRPr="00436BBE">
              <w:rPr>
                <w:lang w:val="de-DE"/>
              </w:rPr>
              <w:t xml:space="preserve">Wagner, Richard: </w:t>
            </w:r>
            <w:r w:rsidRPr="00436BBE">
              <w:rPr>
                <w:i/>
                <w:lang w:val="de-DE"/>
              </w:rPr>
              <w:t>Götterdämmerung</w:t>
            </w:r>
            <w:r w:rsidRPr="00436BBE">
              <w:rPr>
                <w:lang w:val="de-DE"/>
              </w:rPr>
              <w:t xml:space="preserve">, Wiener Staatsoper, R: Sven-Eric </w:t>
            </w:r>
            <w:proofErr w:type="spellStart"/>
            <w:r w:rsidRPr="00436BBE">
              <w:rPr>
                <w:lang w:val="de-DE"/>
              </w:rPr>
              <w:t>Bechtolf</w:t>
            </w:r>
            <w:proofErr w:type="spellEnd"/>
            <w:r w:rsidRPr="00436BBE">
              <w:rPr>
                <w:lang w:val="de-DE"/>
              </w:rPr>
              <w:t>, 2011.</w:t>
            </w:r>
          </w:p>
          <w:p w:rsidR="00D34FF6" w:rsidRPr="00436BBE" w:rsidRDefault="00D34FF6" w:rsidP="00D34FF6">
            <w:pPr>
              <w:rPr>
                <w:lang w:val="de-DE"/>
              </w:rPr>
            </w:pPr>
            <w:r w:rsidRPr="00436BBE">
              <w:rPr>
                <w:lang w:val="de-DE"/>
              </w:rPr>
              <w:t xml:space="preserve">Wagner, Richard: </w:t>
            </w:r>
            <w:r w:rsidRPr="00436BBE">
              <w:rPr>
                <w:i/>
                <w:lang w:val="de-DE"/>
              </w:rPr>
              <w:t>Götterdämmerung</w:t>
            </w:r>
            <w:r w:rsidRPr="00436BBE">
              <w:rPr>
                <w:lang w:val="de-DE"/>
              </w:rPr>
              <w:t xml:space="preserve">, R: Kasper </w:t>
            </w:r>
            <w:proofErr w:type="spellStart"/>
            <w:r w:rsidRPr="00436BBE">
              <w:rPr>
                <w:lang w:val="de-DE"/>
              </w:rPr>
              <w:t>Bech</w:t>
            </w:r>
            <w:proofErr w:type="spellEnd"/>
            <w:r w:rsidRPr="00436BBE">
              <w:rPr>
                <w:lang w:val="de-DE"/>
              </w:rPr>
              <w:t xml:space="preserve"> Holten, Royal </w:t>
            </w:r>
            <w:proofErr w:type="spellStart"/>
            <w:r w:rsidRPr="00436BBE">
              <w:rPr>
                <w:lang w:val="de-DE"/>
              </w:rPr>
              <w:t>Danish</w:t>
            </w:r>
            <w:proofErr w:type="spellEnd"/>
            <w:r w:rsidRPr="00436BBE">
              <w:rPr>
                <w:lang w:val="de-DE"/>
              </w:rPr>
              <w:t xml:space="preserve"> Opera </w:t>
            </w:r>
            <w:proofErr w:type="spellStart"/>
            <w:r w:rsidRPr="00436BBE">
              <w:rPr>
                <w:lang w:val="de-DE"/>
              </w:rPr>
              <w:t>Copenhagen</w:t>
            </w:r>
            <w:proofErr w:type="spellEnd"/>
            <w:r w:rsidRPr="00436BBE">
              <w:rPr>
                <w:lang w:val="de-DE"/>
              </w:rPr>
              <w:t>, 2006.</w:t>
            </w:r>
          </w:p>
          <w:p w:rsidR="00D34FF6" w:rsidRPr="00436BBE" w:rsidRDefault="00D34FF6" w:rsidP="00D34FF6">
            <w:pPr>
              <w:rPr>
                <w:lang w:val="de-DE"/>
              </w:rPr>
            </w:pPr>
            <w:r w:rsidRPr="00436BBE">
              <w:rPr>
                <w:lang w:val="de-DE"/>
              </w:rPr>
              <w:t xml:space="preserve">Wagner, Richard: </w:t>
            </w:r>
            <w:r w:rsidRPr="00436BBE">
              <w:rPr>
                <w:i/>
                <w:lang w:val="de-DE"/>
              </w:rPr>
              <w:t>Götterdämmerung</w:t>
            </w:r>
            <w:r w:rsidRPr="00436BBE">
              <w:rPr>
                <w:lang w:val="de-DE"/>
              </w:rPr>
              <w:t xml:space="preserve">, La </w:t>
            </w:r>
            <w:proofErr w:type="spellStart"/>
            <w:r w:rsidRPr="00436BBE">
              <w:rPr>
                <w:lang w:val="de-DE"/>
              </w:rPr>
              <w:t>Fura</w:t>
            </w:r>
            <w:proofErr w:type="spellEnd"/>
            <w:r w:rsidRPr="00436BBE">
              <w:rPr>
                <w:lang w:val="de-DE"/>
              </w:rPr>
              <w:t xml:space="preserve"> </w:t>
            </w:r>
            <w:proofErr w:type="spellStart"/>
            <w:r w:rsidRPr="00436BBE">
              <w:rPr>
                <w:lang w:val="de-DE"/>
              </w:rPr>
              <w:t>Dels</w:t>
            </w:r>
            <w:proofErr w:type="spellEnd"/>
            <w:r w:rsidRPr="00436BBE">
              <w:rPr>
                <w:lang w:val="de-DE"/>
              </w:rPr>
              <w:t xml:space="preserve"> Baus, Valencia, 2009.</w:t>
            </w:r>
          </w:p>
          <w:p w:rsidR="00D34FF6" w:rsidRPr="00436BBE" w:rsidRDefault="00D34FF6" w:rsidP="00D34FF6">
            <w:pPr>
              <w:rPr>
                <w:lang w:val="de-DE"/>
              </w:rPr>
            </w:pPr>
            <w:proofErr w:type="spellStart"/>
            <w:r w:rsidRPr="00436BBE">
              <w:rPr>
                <w:lang w:val="de-DE"/>
              </w:rPr>
              <w:t>Térey</w:t>
            </w:r>
            <w:proofErr w:type="spellEnd"/>
            <w:r w:rsidRPr="00436BBE">
              <w:rPr>
                <w:lang w:val="de-DE"/>
              </w:rPr>
              <w:t xml:space="preserve"> </w:t>
            </w:r>
            <w:proofErr w:type="spellStart"/>
            <w:r w:rsidRPr="00436BBE">
              <w:rPr>
                <w:lang w:val="de-DE"/>
              </w:rPr>
              <w:t>János</w:t>
            </w:r>
            <w:proofErr w:type="spellEnd"/>
            <w:r w:rsidRPr="00436BBE">
              <w:rPr>
                <w:lang w:val="de-DE"/>
              </w:rPr>
              <w:t xml:space="preserve">: </w:t>
            </w:r>
            <w:r w:rsidRPr="00436BBE">
              <w:rPr>
                <w:i/>
                <w:lang w:val="de-DE"/>
              </w:rPr>
              <w:t xml:space="preserve">A </w:t>
            </w:r>
            <w:proofErr w:type="spellStart"/>
            <w:r w:rsidRPr="00436BBE">
              <w:rPr>
                <w:i/>
                <w:lang w:val="de-DE"/>
              </w:rPr>
              <w:t>Nibelung-lakópark</w:t>
            </w:r>
            <w:proofErr w:type="spellEnd"/>
            <w:r w:rsidRPr="00436BBE">
              <w:rPr>
                <w:lang w:val="de-DE"/>
              </w:rPr>
              <w:t xml:space="preserve">, R: </w:t>
            </w:r>
            <w:proofErr w:type="spellStart"/>
            <w:r w:rsidRPr="00436BBE">
              <w:rPr>
                <w:lang w:val="de-DE"/>
              </w:rPr>
              <w:t>Mundruczó</w:t>
            </w:r>
            <w:proofErr w:type="spellEnd"/>
            <w:r w:rsidRPr="00436BBE">
              <w:rPr>
                <w:lang w:val="de-DE"/>
              </w:rPr>
              <w:t xml:space="preserve"> </w:t>
            </w:r>
            <w:proofErr w:type="spellStart"/>
            <w:r w:rsidRPr="00436BBE">
              <w:rPr>
                <w:lang w:val="de-DE"/>
              </w:rPr>
              <w:t>Kornél</w:t>
            </w:r>
            <w:proofErr w:type="spellEnd"/>
            <w:r w:rsidRPr="00436BBE">
              <w:rPr>
                <w:lang w:val="de-DE"/>
              </w:rPr>
              <w:t xml:space="preserve">, </w:t>
            </w:r>
            <w:proofErr w:type="spellStart"/>
            <w:r w:rsidRPr="00436BBE">
              <w:rPr>
                <w:lang w:val="de-DE"/>
              </w:rPr>
              <w:t>Krétakör</w:t>
            </w:r>
            <w:proofErr w:type="spellEnd"/>
            <w:r w:rsidRPr="00436BBE">
              <w:rPr>
                <w:lang w:val="de-DE"/>
              </w:rPr>
              <w:t xml:space="preserve"> </w:t>
            </w:r>
            <w:proofErr w:type="spellStart"/>
            <w:r w:rsidRPr="00436BBE">
              <w:rPr>
                <w:lang w:val="de-DE"/>
              </w:rPr>
              <w:t>Színház</w:t>
            </w:r>
            <w:proofErr w:type="spellEnd"/>
            <w:r w:rsidRPr="00436BBE">
              <w:rPr>
                <w:lang w:val="de-DE"/>
              </w:rPr>
              <w:t xml:space="preserve"> a </w:t>
            </w:r>
            <w:proofErr w:type="spellStart"/>
            <w:r w:rsidRPr="00436BBE">
              <w:rPr>
                <w:lang w:val="de-DE"/>
              </w:rPr>
              <w:t>Budavári</w:t>
            </w:r>
            <w:proofErr w:type="spellEnd"/>
            <w:r w:rsidRPr="00436BBE">
              <w:rPr>
                <w:lang w:val="de-DE"/>
              </w:rPr>
              <w:t xml:space="preserve"> </w:t>
            </w:r>
            <w:proofErr w:type="spellStart"/>
            <w:r w:rsidRPr="00436BBE">
              <w:rPr>
                <w:lang w:val="de-DE"/>
              </w:rPr>
              <w:t>Sziklakórházban</w:t>
            </w:r>
            <w:proofErr w:type="spellEnd"/>
            <w:r w:rsidRPr="00436BBE">
              <w:rPr>
                <w:lang w:val="de-DE"/>
              </w:rPr>
              <w:t>, 2004.</w:t>
            </w:r>
          </w:p>
          <w:p w:rsidR="00D34FF6" w:rsidRPr="008152D1" w:rsidRDefault="00D34FF6" w:rsidP="0082288B">
            <w:pPr>
              <w:rPr>
                <w:lang w:val="de-DE"/>
              </w:rPr>
            </w:pPr>
            <w:r w:rsidRPr="00436BBE">
              <w:rPr>
                <w:i/>
                <w:lang w:val="de-DE"/>
              </w:rPr>
              <w:lastRenderedPageBreak/>
              <w:t xml:space="preserve">A </w:t>
            </w:r>
            <w:proofErr w:type="spellStart"/>
            <w:r w:rsidRPr="00436BBE">
              <w:rPr>
                <w:i/>
                <w:lang w:val="de-DE"/>
              </w:rPr>
              <w:t>Nibelung-lakópark</w:t>
            </w:r>
            <w:proofErr w:type="spellEnd"/>
            <w:r w:rsidRPr="00436BBE">
              <w:rPr>
                <w:lang w:val="de-DE"/>
              </w:rPr>
              <w:t xml:space="preserve"> (</w:t>
            </w:r>
            <w:proofErr w:type="spellStart"/>
            <w:r w:rsidRPr="00436BBE">
              <w:rPr>
                <w:lang w:val="de-DE"/>
              </w:rPr>
              <w:t>magyar</w:t>
            </w:r>
            <w:proofErr w:type="spellEnd"/>
            <w:r w:rsidRPr="00436BBE">
              <w:rPr>
                <w:lang w:val="de-DE"/>
              </w:rPr>
              <w:t xml:space="preserve"> </w:t>
            </w:r>
            <w:proofErr w:type="spellStart"/>
            <w:r w:rsidRPr="00436BBE">
              <w:rPr>
                <w:lang w:val="de-DE"/>
              </w:rPr>
              <w:t>filmdráma</w:t>
            </w:r>
            <w:proofErr w:type="spellEnd"/>
            <w:r w:rsidRPr="00436BBE">
              <w:rPr>
                <w:lang w:val="de-DE"/>
              </w:rPr>
              <w:t xml:space="preserve">, 100 </w:t>
            </w:r>
            <w:proofErr w:type="spellStart"/>
            <w:r w:rsidRPr="00436BBE">
              <w:rPr>
                <w:lang w:val="de-DE"/>
              </w:rPr>
              <w:t>perc</w:t>
            </w:r>
            <w:proofErr w:type="spellEnd"/>
            <w:r w:rsidRPr="00436BBE">
              <w:rPr>
                <w:lang w:val="de-DE"/>
              </w:rPr>
              <w:t xml:space="preserve">), R: </w:t>
            </w:r>
            <w:proofErr w:type="spellStart"/>
            <w:r w:rsidRPr="00436BBE">
              <w:rPr>
                <w:lang w:val="de-DE"/>
              </w:rPr>
              <w:t>Mundruczó</w:t>
            </w:r>
            <w:proofErr w:type="spellEnd"/>
            <w:r w:rsidRPr="00436BBE">
              <w:rPr>
                <w:lang w:val="de-DE"/>
              </w:rPr>
              <w:t xml:space="preserve"> </w:t>
            </w:r>
            <w:proofErr w:type="spellStart"/>
            <w:r w:rsidRPr="00436BBE">
              <w:rPr>
                <w:lang w:val="de-DE"/>
              </w:rPr>
              <w:t>Kornél</w:t>
            </w:r>
            <w:proofErr w:type="spellEnd"/>
            <w:r w:rsidRPr="00436BBE">
              <w:rPr>
                <w:lang w:val="de-DE"/>
              </w:rPr>
              <w:t>, 2009.</w:t>
            </w:r>
          </w:p>
          <w:p w:rsidR="008C2ABF" w:rsidRPr="008152D1" w:rsidRDefault="008C2ABF" w:rsidP="0082288B">
            <w:pPr>
              <w:rPr>
                <w:lang w:val="de-DE"/>
              </w:rPr>
            </w:pPr>
          </w:p>
          <w:p w:rsidR="00BF6DDC" w:rsidRPr="00D34FF6" w:rsidRDefault="00BF6DDC" w:rsidP="0082288B">
            <w:pPr>
              <w:rPr>
                <w:b/>
                <w:bCs/>
                <w:i/>
                <w:iCs/>
                <w:u w:val="single"/>
                <w:lang w:val="de-DE"/>
              </w:rPr>
            </w:pPr>
            <w:r w:rsidRPr="00D34FF6">
              <w:rPr>
                <w:b/>
                <w:bCs/>
                <w:i/>
                <w:iCs/>
                <w:u w:val="single"/>
                <w:lang w:val="de-DE"/>
              </w:rPr>
              <w:t>Empfohlene Lektüre:</w:t>
            </w:r>
          </w:p>
          <w:p w:rsidR="00D34FF6" w:rsidRPr="00436BBE" w:rsidRDefault="00D34FF6" w:rsidP="00D34FF6">
            <w:pPr>
              <w:rPr>
                <w:lang w:val="de-DE"/>
              </w:rPr>
            </w:pPr>
            <w:r w:rsidRPr="00436BBE">
              <w:rPr>
                <w:lang w:val="de-DE"/>
              </w:rPr>
              <w:t>Hebbel, Friedrich:</w:t>
            </w:r>
            <w:r w:rsidRPr="00436BBE">
              <w:rPr>
                <w:i/>
                <w:lang w:val="de-DE"/>
              </w:rPr>
              <w:t xml:space="preserve"> Die Nibelungen. Ein deutsches Trauerspiel in drei Abteilungen</w:t>
            </w:r>
            <w:r w:rsidRPr="00436BBE">
              <w:rPr>
                <w:lang w:val="de-DE"/>
              </w:rPr>
              <w:t>. Stuttgart: Reclam 1967.</w:t>
            </w:r>
          </w:p>
          <w:p w:rsidR="00D34FF6" w:rsidRPr="00436BBE" w:rsidRDefault="00D34FF6" w:rsidP="00D34FF6">
            <w:pPr>
              <w:rPr>
                <w:lang w:val="de-DE"/>
              </w:rPr>
            </w:pPr>
            <w:r w:rsidRPr="00436BBE">
              <w:rPr>
                <w:lang w:val="de-DE"/>
              </w:rPr>
              <w:t xml:space="preserve">Shaw, Bernard: </w:t>
            </w:r>
            <w:r w:rsidRPr="00436BBE">
              <w:rPr>
                <w:i/>
                <w:lang w:val="de-DE"/>
              </w:rPr>
              <w:t>Wagner-Brevier.</w:t>
            </w:r>
            <w:r w:rsidRPr="00436BBE">
              <w:rPr>
                <w:lang w:val="de-DE"/>
              </w:rPr>
              <w:t xml:space="preserve"> Frankfurt/M: Suhrkamp 1973.</w:t>
            </w:r>
          </w:p>
          <w:p w:rsidR="00D34FF6" w:rsidRPr="00436BBE" w:rsidRDefault="00D34FF6" w:rsidP="00D34FF6">
            <w:pPr>
              <w:rPr>
                <w:lang w:val="de-DE"/>
              </w:rPr>
            </w:pPr>
            <w:r w:rsidRPr="00436BBE">
              <w:rPr>
                <w:lang w:val="de-DE"/>
              </w:rPr>
              <w:t xml:space="preserve">Wagner, Richard: </w:t>
            </w:r>
            <w:r w:rsidRPr="00436BBE">
              <w:rPr>
                <w:i/>
                <w:lang w:val="de-DE"/>
              </w:rPr>
              <w:t>Das Rheingold.</w:t>
            </w:r>
            <w:r w:rsidRPr="00436BBE">
              <w:rPr>
                <w:lang w:val="de-DE"/>
              </w:rPr>
              <w:t xml:space="preserve"> Stuttgart: Reclam 1999.</w:t>
            </w:r>
          </w:p>
          <w:p w:rsidR="00D34FF6" w:rsidRPr="00436BBE" w:rsidRDefault="00D34FF6" w:rsidP="00D34FF6">
            <w:pPr>
              <w:rPr>
                <w:lang w:val="de-DE"/>
              </w:rPr>
            </w:pPr>
            <w:r w:rsidRPr="00436BBE">
              <w:rPr>
                <w:lang w:val="de-DE"/>
              </w:rPr>
              <w:t xml:space="preserve">Wagner, Richard: </w:t>
            </w:r>
            <w:r w:rsidRPr="00436BBE">
              <w:rPr>
                <w:i/>
                <w:lang w:val="de-DE"/>
              </w:rPr>
              <w:t>Die Walküre.</w:t>
            </w:r>
            <w:r w:rsidRPr="00436BBE">
              <w:rPr>
                <w:lang w:val="de-DE"/>
              </w:rPr>
              <w:t xml:space="preserve"> Stuttgart: Reclam 1997.</w:t>
            </w:r>
          </w:p>
          <w:p w:rsidR="00D34FF6" w:rsidRDefault="00D34FF6" w:rsidP="00D34FF6">
            <w:pPr>
              <w:rPr>
                <w:lang w:val="de-DE"/>
              </w:rPr>
            </w:pPr>
            <w:r w:rsidRPr="00436BBE">
              <w:rPr>
                <w:lang w:val="de-DE"/>
              </w:rPr>
              <w:t>Wagner, Richard:</w:t>
            </w:r>
            <w:r w:rsidRPr="00436BBE">
              <w:rPr>
                <w:i/>
                <w:lang w:val="de-DE"/>
              </w:rPr>
              <w:t xml:space="preserve"> Siegfried.</w:t>
            </w:r>
            <w:r w:rsidRPr="00436BBE">
              <w:rPr>
                <w:lang w:val="de-DE"/>
              </w:rPr>
              <w:t xml:space="preserve"> Stuttgart: Reclam 1998.</w:t>
            </w:r>
          </w:p>
          <w:p w:rsidR="00D34FF6" w:rsidRDefault="00D34FF6" w:rsidP="00D34FF6">
            <w:pPr>
              <w:rPr>
                <w:lang w:val="de-DE"/>
              </w:rPr>
            </w:pPr>
            <w:r>
              <w:rPr>
                <w:lang w:val="de-DE"/>
              </w:rPr>
              <w:t xml:space="preserve">Hoffmann, Werner: </w:t>
            </w:r>
            <w:r w:rsidRPr="00854704">
              <w:rPr>
                <w:i/>
                <w:iCs/>
                <w:lang w:val="de-DE"/>
              </w:rPr>
              <w:t>Das Nibelungenlied</w:t>
            </w:r>
            <w:r>
              <w:rPr>
                <w:lang w:val="de-DE"/>
              </w:rPr>
              <w:t>. Stuttgart: Metzler 1982.</w:t>
            </w:r>
          </w:p>
          <w:p w:rsidR="00084BF2" w:rsidRPr="008152D1" w:rsidRDefault="00D34FF6" w:rsidP="00D34FF6">
            <w:pPr>
              <w:rPr>
                <w:lang w:val="de-DE"/>
              </w:rPr>
            </w:pPr>
            <w:r>
              <w:rPr>
                <w:lang w:val="de-DE"/>
              </w:rPr>
              <w:t xml:space="preserve">Reichert, Hermann: </w:t>
            </w:r>
            <w:r w:rsidRPr="00854704">
              <w:rPr>
                <w:i/>
                <w:iCs/>
                <w:lang w:val="de-DE"/>
              </w:rPr>
              <w:t>Nibelungenlied und Nibelungensage</w:t>
            </w:r>
            <w:r>
              <w:rPr>
                <w:lang w:val="de-DE"/>
              </w:rPr>
              <w:t>. Wien – Köln: Böhlau 1985.</w:t>
            </w:r>
          </w:p>
        </w:tc>
      </w:tr>
    </w:tbl>
    <w:p w:rsidR="00B42C68" w:rsidRPr="008152D1" w:rsidRDefault="00B42C68" w:rsidP="00B42C68">
      <w:pPr>
        <w:rPr>
          <w:lang w:val="de-DE"/>
        </w:rPr>
      </w:pPr>
    </w:p>
    <w:p w:rsidR="00B42C68" w:rsidRPr="008152D1" w:rsidRDefault="00B42C68" w:rsidP="00B42C68">
      <w:pPr>
        <w:rPr>
          <w:lang w:val="de-DE"/>
        </w:rPr>
      </w:pPr>
    </w:p>
    <w:p w:rsidR="00B42C68" w:rsidRPr="008152D1" w:rsidRDefault="00B42C68" w:rsidP="00B42C68">
      <w:pPr>
        <w:rPr>
          <w:b/>
          <w:i/>
          <w:u w:val="single"/>
          <w:lang w:val="de-DE"/>
        </w:rPr>
      </w:pPr>
      <w:r w:rsidRPr="008152D1">
        <w:rPr>
          <w:b/>
          <w:i/>
          <w:u w:val="single"/>
          <w:lang w:val="de-DE"/>
        </w:rPr>
        <w:t>Bewertung der Lehrveranstaltung</w:t>
      </w:r>
    </w:p>
    <w:p w:rsidR="00B42C68" w:rsidRPr="008152D1" w:rsidRDefault="00B42C68" w:rsidP="00B42C68">
      <w:pPr>
        <w:rPr>
          <w:lang w:val="de-DE"/>
        </w:rPr>
      </w:pPr>
    </w:p>
    <w:p w:rsidR="00D34FF6" w:rsidRPr="00B11901" w:rsidRDefault="00D34FF6" w:rsidP="00D34FF6">
      <w:pPr>
        <w:jc w:val="both"/>
        <w:rPr>
          <w:lang w:val="de-DE"/>
        </w:rPr>
      </w:pPr>
      <w:r w:rsidRPr="00B11901">
        <w:rPr>
          <w:lang w:val="de-DE"/>
        </w:rPr>
        <w:t>Aktive Präsenz während des Seminars ist Grundvoraussetzung. Regelmäßige, aktive Teilnahme an den Diskussionen, max. drei Fehlstunden sind erlaubt.</w:t>
      </w:r>
    </w:p>
    <w:p w:rsidR="00D34FF6" w:rsidRPr="00B11901" w:rsidRDefault="00D34FF6" w:rsidP="00D34FF6">
      <w:pPr>
        <w:jc w:val="both"/>
        <w:rPr>
          <w:lang w:val="de-DE"/>
        </w:rPr>
      </w:pPr>
      <w:r w:rsidRPr="00B11901">
        <w:rPr>
          <w:lang w:val="de-DE"/>
        </w:rPr>
        <w:t xml:space="preserve">Hausaufgaben müssen immer für die vorgesehene Sitzung gemacht werden. Eine Umstrukturierung des Seminarprogramms ist nur in begründeten Ausnahmefällen möglich. </w:t>
      </w:r>
    </w:p>
    <w:p w:rsidR="00D34FF6" w:rsidRPr="00B11901" w:rsidRDefault="00D34FF6" w:rsidP="00D34FF6">
      <w:pPr>
        <w:jc w:val="both"/>
        <w:rPr>
          <w:lang w:val="de-DE"/>
        </w:rPr>
      </w:pPr>
      <w:r w:rsidRPr="00B11901">
        <w:rPr>
          <w:lang w:val="de-DE"/>
        </w:rPr>
        <w:t>Die Anforderungen müssen immer termingerecht geleistet werden. Die jeweiligen Termine sind immer dem aktuellen Seminarprogramm zu entnehmen.</w:t>
      </w:r>
    </w:p>
    <w:p w:rsidR="00D34FF6" w:rsidRPr="00436BBE" w:rsidRDefault="00D34FF6" w:rsidP="00D34FF6">
      <w:pPr>
        <w:widowControl w:val="0"/>
        <w:ind w:left="90"/>
        <w:rPr>
          <w:lang w:val="de-DE"/>
        </w:rPr>
      </w:pPr>
      <w:r w:rsidRPr="00436BBE">
        <w:rPr>
          <w:lang w:val="de-DE"/>
        </w:rPr>
        <w:t>Die Gesamtnote setzt sich wie folgt zusammen:</w:t>
      </w:r>
    </w:p>
    <w:p w:rsidR="00D34FF6" w:rsidRPr="00436BBE" w:rsidRDefault="00D34FF6" w:rsidP="00D34FF6">
      <w:pPr>
        <w:widowControl w:val="0"/>
        <w:numPr>
          <w:ilvl w:val="0"/>
          <w:numId w:val="7"/>
        </w:numPr>
        <w:ind w:right="90"/>
        <w:jc w:val="both"/>
        <w:rPr>
          <w:lang w:val="de-DE"/>
        </w:rPr>
      </w:pPr>
      <w:r w:rsidRPr="00436BBE">
        <w:rPr>
          <w:lang w:val="de-DE"/>
        </w:rPr>
        <w:t xml:space="preserve">Lektüretests: </w:t>
      </w:r>
      <w:r>
        <w:rPr>
          <w:lang w:val="de-DE"/>
        </w:rPr>
        <w:t>5</w:t>
      </w:r>
      <w:r w:rsidRPr="00436BBE">
        <w:rPr>
          <w:lang w:val="de-DE"/>
        </w:rPr>
        <w:t>0 %</w:t>
      </w:r>
    </w:p>
    <w:p w:rsidR="00D34FF6" w:rsidRPr="00436BBE" w:rsidRDefault="00D34FF6" w:rsidP="00D34FF6">
      <w:pPr>
        <w:widowControl w:val="0"/>
        <w:numPr>
          <w:ilvl w:val="0"/>
          <w:numId w:val="7"/>
        </w:numPr>
        <w:ind w:right="90"/>
        <w:jc w:val="both"/>
        <w:rPr>
          <w:lang w:val="de-DE"/>
        </w:rPr>
      </w:pPr>
      <w:r w:rsidRPr="00436BBE">
        <w:rPr>
          <w:lang w:val="de-DE"/>
        </w:rPr>
        <w:t>Mündliche Mitarbeit: 20 %</w:t>
      </w:r>
    </w:p>
    <w:p w:rsidR="00D34FF6" w:rsidRPr="00436BBE" w:rsidRDefault="00D34FF6" w:rsidP="00D34FF6">
      <w:pPr>
        <w:widowControl w:val="0"/>
        <w:numPr>
          <w:ilvl w:val="0"/>
          <w:numId w:val="7"/>
        </w:numPr>
        <w:ind w:right="90"/>
        <w:jc w:val="both"/>
        <w:rPr>
          <w:lang w:val="de-DE"/>
        </w:rPr>
      </w:pPr>
      <w:r w:rsidRPr="00436BBE">
        <w:rPr>
          <w:lang w:val="de-DE"/>
        </w:rPr>
        <w:t xml:space="preserve">Referat: </w:t>
      </w:r>
      <w:r>
        <w:rPr>
          <w:lang w:val="de-DE"/>
        </w:rPr>
        <w:t>3</w:t>
      </w:r>
      <w:r w:rsidRPr="00436BBE">
        <w:rPr>
          <w:lang w:val="de-DE"/>
        </w:rPr>
        <w:t>0 %</w:t>
      </w:r>
    </w:p>
    <w:p w:rsidR="00D51A9E" w:rsidRPr="008152D1" w:rsidRDefault="00D51A9E" w:rsidP="00D34FF6">
      <w:pPr>
        <w:rPr>
          <w:lang w:val="de-DE"/>
        </w:rPr>
      </w:pPr>
    </w:p>
    <w:sectPr w:rsidR="00D51A9E" w:rsidRPr="008152D1" w:rsidSect="00D5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1EE"/>
    <w:multiLevelType w:val="hybridMultilevel"/>
    <w:tmpl w:val="765C1014"/>
    <w:lvl w:ilvl="0" w:tplc="040E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86858"/>
    <w:multiLevelType w:val="hybridMultilevel"/>
    <w:tmpl w:val="A5DA12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74289"/>
    <w:multiLevelType w:val="multilevel"/>
    <w:tmpl w:val="EFC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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43777262"/>
    <w:multiLevelType w:val="hybridMultilevel"/>
    <w:tmpl w:val="D50824B2"/>
    <w:lvl w:ilvl="0" w:tplc="040E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7CE5379"/>
    <w:multiLevelType w:val="hybridMultilevel"/>
    <w:tmpl w:val="1DB88DF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B438A"/>
    <w:multiLevelType w:val="multilevel"/>
    <w:tmpl w:val="A9F804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36A7174"/>
    <w:multiLevelType w:val="hybridMultilevel"/>
    <w:tmpl w:val="BAEEF7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B5C01"/>
    <w:rsid w:val="00084BF2"/>
    <w:rsid w:val="000C0CCE"/>
    <w:rsid w:val="0010618A"/>
    <w:rsid w:val="001A14AD"/>
    <w:rsid w:val="00232355"/>
    <w:rsid w:val="00244FC1"/>
    <w:rsid w:val="00281717"/>
    <w:rsid w:val="002952B9"/>
    <w:rsid w:val="003734E2"/>
    <w:rsid w:val="004B5C01"/>
    <w:rsid w:val="00601325"/>
    <w:rsid w:val="00602C37"/>
    <w:rsid w:val="00604615"/>
    <w:rsid w:val="00604787"/>
    <w:rsid w:val="00610C0E"/>
    <w:rsid w:val="0064131D"/>
    <w:rsid w:val="0069734C"/>
    <w:rsid w:val="00770D9F"/>
    <w:rsid w:val="008152D1"/>
    <w:rsid w:val="0082288B"/>
    <w:rsid w:val="008C2ABF"/>
    <w:rsid w:val="00903D5F"/>
    <w:rsid w:val="009551AF"/>
    <w:rsid w:val="00995B21"/>
    <w:rsid w:val="00997D91"/>
    <w:rsid w:val="009B20FA"/>
    <w:rsid w:val="00A03FC7"/>
    <w:rsid w:val="00A60021"/>
    <w:rsid w:val="00B42C68"/>
    <w:rsid w:val="00B618B7"/>
    <w:rsid w:val="00BA1CAC"/>
    <w:rsid w:val="00BF6DDC"/>
    <w:rsid w:val="00C17DE3"/>
    <w:rsid w:val="00C92E24"/>
    <w:rsid w:val="00D34FF6"/>
    <w:rsid w:val="00D36A7A"/>
    <w:rsid w:val="00D51A9E"/>
    <w:rsid w:val="00DF3347"/>
    <w:rsid w:val="00E25337"/>
    <w:rsid w:val="00F126C7"/>
    <w:rsid w:val="00F27FF6"/>
    <w:rsid w:val="00FA5F05"/>
    <w:rsid w:val="00FC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34FF6"/>
    <w:pPr>
      <w:keepNext/>
      <w:keepLines/>
      <w:spacing w:before="240" w:after="240"/>
      <w:jc w:val="both"/>
      <w:outlineLvl w:val="2"/>
    </w:pPr>
    <w:rPr>
      <w:rFonts w:ascii="Verdana" w:eastAsia="Verdana" w:hAnsi="Verdana" w:cs="Verdana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B5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nhideWhenUsed/>
    <w:rsid w:val="00B42C68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36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72"/>
      </w:tabs>
      <w:jc w:val="both"/>
    </w:pPr>
    <w:rPr>
      <w:rFonts w:ascii="Century Schoolbook" w:hAnsi="Century Schoolbook"/>
      <w:sz w:val="20"/>
      <w:szCs w:val="20"/>
      <w:lang w:val="de-DE" w:eastAsia="cs-CZ"/>
    </w:rPr>
  </w:style>
  <w:style w:type="character" w:customStyle="1" w:styleId="lfejChar">
    <w:name w:val="Élőfej Char"/>
    <w:basedOn w:val="Bekezdsalapbettpusa"/>
    <w:link w:val="lfej"/>
    <w:rsid w:val="00B42C68"/>
    <w:rPr>
      <w:rFonts w:ascii="Century Schoolbook" w:eastAsia="Times New Roman" w:hAnsi="Century Schoolbook" w:cs="Times New Roman"/>
      <w:sz w:val="20"/>
      <w:szCs w:val="20"/>
      <w:lang w:val="de-DE" w:eastAsia="cs-CZ"/>
    </w:rPr>
  </w:style>
  <w:style w:type="character" w:styleId="Hiperhivatkozs">
    <w:name w:val="Hyperlink"/>
    <w:basedOn w:val="Bekezdsalapbettpusa"/>
    <w:uiPriority w:val="99"/>
    <w:unhideWhenUsed/>
    <w:rsid w:val="001A14AD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A14A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1A14AD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FC2250"/>
    <w:pPr>
      <w:spacing w:before="100" w:beforeAutospacing="1" w:after="100" w:afterAutospacing="1"/>
    </w:pPr>
    <w:rPr>
      <w:lang w:val="de-AT" w:eastAsia="de-AT"/>
    </w:rPr>
  </w:style>
  <w:style w:type="character" w:customStyle="1" w:styleId="Cmsor3Char">
    <w:name w:val="Címsor 3 Char"/>
    <w:basedOn w:val="Bekezdsalapbettpusa"/>
    <w:link w:val="Cmsor3"/>
    <w:uiPriority w:val="9"/>
    <w:rsid w:val="00D34FF6"/>
    <w:rPr>
      <w:rFonts w:ascii="Verdana" w:eastAsia="Verdana" w:hAnsi="Verdana" w:cs="Verdana"/>
      <w:b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 Orban</dc:creator>
  <cp:lastModifiedBy>user</cp:lastModifiedBy>
  <cp:revision>3</cp:revision>
  <dcterms:created xsi:type="dcterms:W3CDTF">2022-02-21T12:27:00Z</dcterms:created>
  <dcterms:modified xsi:type="dcterms:W3CDTF">2022-02-21T12:28:00Z</dcterms:modified>
</cp:coreProperties>
</file>