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1" w:rsidRDefault="00EF3871" w:rsidP="00EF3871">
      <w:pPr>
        <w:rPr>
          <w:b/>
          <w:lang w:val="hu-HU"/>
        </w:rPr>
      </w:pPr>
      <w:r>
        <w:rPr>
          <w:b/>
        </w:rPr>
        <w:t xml:space="preserve">Name der Lehrveranstaltung: </w:t>
      </w:r>
      <w:proofErr w:type="spellStart"/>
      <w:r>
        <w:rPr>
          <w:b/>
          <w:lang w:val="hu-HU"/>
        </w:rPr>
        <w:t>Fachmethodik</w:t>
      </w:r>
      <w:proofErr w:type="spellEnd"/>
      <w:r>
        <w:rPr>
          <w:b/>
          <w:lang w:val="hu-HU"/>
        </w:rPr>
        <w:t xml:space="preserve"> 2. </w:t>
      </w:r>
    </w:p>
    <w:p w:rsidR="00EF3871" w:rsidRDefault="00EF3871" w:rsidP="00EF3871">
      <w:pPr>
        <w:rPr>
          <w:b/>
        </w:rPr>
      </w:pPr>
    </w:p>
    <w:p w:rsidR="00EF3871" w:rsidRDefault="00EF3871" w:rsidP="00EF3871">
      <w:pPr>
        <w:rPr>
          <w:b/>
        </w:rPr>
      </w:pPr>
      <w:r>
        <w:rPr>
          <w:b/>
        </w:rPr>
        <w:t xml:space="preserve">Typ der Lehrveranstaltung: </w:t>
      </w:r>
      <w:r>
        <w:rPr>
          <w:b/>
          <w:bCs/>
        </w:rPr>
        <w:t>Seminar</w:t>
      </w:r>
    </w:p>
    <w:p w:rsidR="00EF3871" w:rsidRDefault="00EF3871" w:rsidP="00EF3871">
      <w:pPr>
        <w:rPr>
          <w:b/>
        </w:rPr>
      </w:pPr>
    </w:p>
    <w:p w:rsidR="00EF3871" w:rsidRDefault="00EF3871" w:rsidP="00EF3871">
      <w:pPr>
        <w:pStyle w:val="Norml2"/>
        <w:rPr>
          <w:b/>
        </w:rPr>
      </w:pPr>
      <w:proofErr w:type="spellStart"/>
      <w:r>
        <w:rPr>
          <w:b/>
        </w:rPr>
        <w:t>Codenummer</w:t>
      </w:r>
      <w:proofErr w:type="spellEnd"/>
      <w:r>
        <w:rPr>
          <w:b/>
        </w:rPr>
        <w:t>: BTNM812_OMAL</w:t>
      </w:r>
    </w:p>
    <w:p w:rsidR="00EF3871" w:rsidRDefault="00EF3871" w:rsidP="00EF3871">
      <w:r>
        <w:rPr>
          <w:b/>
        </w:rPr>
        <w:tab/>
      </w:r>
    </w:p>
    <w:p w:rsidR="00EF3871" w:rsidRDefault="00EF3871" w:rsidP="00EF3871">
      <w:pPr>
        <w:rPr>
          <w:b/>
        </w:rPr>
      </w:pPr>
      <w:r>
        <w:rPr>
          <w:b/>
        </w:rPr>
        <w:t xml:space="preserve">Wochenstunden: </w:t>
      </w:r>
      <w:r>
        <w:t>2</w:t>
      </w:r>
      <w:r>
        <w:rPr>
          <w:b/>
        </w:rPr>
        <w:tab/>
      </w:r>
    </w:p>
    <w:p w:rsidR="00EF3871" w:rsidRDefault="00EF3871" w:rsidP="00EF3871">
      <w:pPr>
        <w:rPr>
          <w:b/>
        </w:rPr>
      </w:pPr>
    </w:p>
    <w:p w:rsidR="00EF3871" w:rsidRDefault="00EF3871" w:rsidP="00EF3871">
      <w:r>
        <w:rPr>
          <w:b/>
        </w:rPr>
        <w:t>Kreditpunkte:</w:t>
      </w:r>
      <w:r>
        <w:rPr>
          <w:b/>
          <w:lang w:val="hu-HU"/>
        </w:rPr>
        <w:t xml:space="preserve"> 2</w:t>
      </w:r>
      <w:r>
        <w:rPr>
          <w:b/>
        </w:rPr>
        <w:tab/>
      </w:r>
      <w:r>
        <w:rPr>
          <w:b/>
        </w:rPr>
        <w:tab/>
      </w:r>
    </w:p>
    <w:p w:rsidR="00EF3871" w:rsidRDefault="00EF3871" w:rsidP="00EF3871">
      <w:pPr>
        <w:rPr>
          <w:b/>
        </w:rPr>
      </w:pPr>
    </w:p>
    <w:p w:rsidR="00EF3871" w:rsidRDefault="00EF3871" w:rsidP="00EF3871">
      <w:pPr>
        <w:rPr>
          <w:lang w:val="hu-HU"/>
        </w:rPr>
      </w:pPr>
      <w:r>
        <w:rPr>
          <w:b/>
        </w:rPr>
        <w:t>Bewertung:</w:t>
      </w:r>
      <w:r>
        <w:rPr>
          <w:b/>
          <w:lang w:val="hu-HU"/>
        </w:rPr>
        <w:t xml:space="preserve">  </w:t>
      </w:r>
      <w:proofErr w:type="spellStart"/>
      <w:r>
        <w:rPr>
          <w:b/>
          <w:lang w:val="hu-HU"/>
        </w:rPr>
        <w:t>Mündliche</w:t>
      </w:r>
      <w:proofErr w:type="spellEnd"/>
      <w:r>
        <w:rPr>
          <w:b/>
          <w:lang w:val="hu-HU"/>
        </w:rPr>
        <w:t xml:space="preserve"> und </w:t>
      </w:r>
      <w:proofErr w:type="spellStart"/>
      <w:r>
        <w:rPr>
          <w:b/>
          <w:lang w:val="hu-HU"/>
        </w:rPr>
        <w:t>schriftliche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Kontrolle</w:t>
      </w:r>
      <w:proofErr w:type="spellEnd"/>
    </w:p>
    <w:p w:rsidR="00EF3871" w:rsidRDefault="00EF3871" w:rsidP="00EF3871">
      <w:pPr>
        <w:rPr>
          <w:b/>
        </w:rPr>
      </w:pPr>
    </w:p>
    <w:p w:rsidR="00EF3871" w:rsidRDefault="00EF3871" w:rsidP="00EF3871">
      <w:pPr>
        <w:rPr>
          <w:b/>
          <w:bCs/>
          <w:lang w:val="hu-HU"/>
        </w:rPr>
      </w:pPr>
      <w:proofErr w:type="spellStart"/>
      <w:r>
        <w:rPr>
          <w:b/>
          <w:bCs/>
          <w:lang w:val="hu-HU"/>
        </w:rPr>
        <w:t>Beschreibung</w:t>
      </w:r>
      <w:proofErr w:type="spellEnd"/>
      <w:r>
        <w:rPr>
          <w:b/>
          <w:bCs/>
          <w:lang w:val="hu-HU"/>
        </w:rPr>
        <w:t xml:space="preserve">: </w:t>
      </w:r>
    </w:p>
    <w:p w:rsidR="00EF3871" w:rsidRDefault="00EF3871" w:rsidP="00EF3871">
      <w:pPr>
        <w:jc w:val="both"/>
        <w:rPr>
          <w:lang w:val="hu-HU"/>
        </w:rPr>
      </w:pPr>
      <w:proofErr w:type="spellStart"/>
      <w:r>
        <w:rPr>
          <w:lang w:val="hu-HU"/>
        </w:rPr>
        <w:t>Ziel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Lehrveranstaltung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ist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dass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Fernstudenten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nach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Aneignung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theoretischen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Grundkenntnisse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Unterrichtsphasen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der Praxis </w:t>
      </w:r>
      <w:proofErr w:type="spellStart"/>
      <w:r>
        <w:rPr>
          <w:lang w:val="hu-HU"/>
        </w:rPr>
        <w:t>ausprobieren</w:t>
      </w:r>
      <w:proofErr w:type="spellEnd"/>
      <w:r>
        <w:rPr>
          <w:lang w:val="hu-HU"/>
        </w:rPr>
        <w:t xml:space="preserve"> und </w:t>
      </w:r>
      <w:proofErr w:type="spellStart"/>
      <w:r>
        <w:rPr>
          <w:lang w:val="hu-HU"/>
        </w:rPr>
        <w:t>anschließend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analysieren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Im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Laufe</w:t>
      </w:r>
      <w:proofErr w:type="spellEnd"/>
      <w:r>
        <w:rPr>
          <w:lang w:val="hu-HU"/>
        </w:rPr>
        <w:t xml:space="preserve"> des </w:t>
      </w:r>
      <w:proofErr w:type="spellStart"/>
      <w:r>
        <w:rPr>
          <w:lang w:val="hu-HU"/>
        </w:rPr>
        <w:t>Semesters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bekommen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Entwicklung</w:t>
      </w:r>
      <w:proofErr w:type="spellEnd"/>
      <w:r>
        <w:rPr>
          <w:lang w:val="hu-HU"/>
        </w:rPr>
        <w:t xml:space="preserve"> des </w:t>
      </w:r>
      <w:proofErr w:type="spellStart"/>
      <w:r>
        <w:rPr>
          <w:lang w:val="hu-HU"/>
        </w:rPr>
        <w:t>Leseverstehens</w:t>
      </w:r>
      <w:proofErr w:type="spellEnd"/>
      <w:r>
        <w:rPr>
          <w:lang w:val="hu-HU"/>
        </w:rPr>
        <w:t xml:space="preserve"> und </w:t>
      </w:r>
      <w:proofErr w:type="spellStart"/>
      <w:r>
        <w:rPr>
          <w:lang w:val="hu-HU"/>
        </w:rPr>
        <w:t>Hörverstehens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sowie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Kennenlernen</w:t>
      </w:r>
      <w:proofErr w:type="spellEnd"/>
      <w:r>
        <w:rPr>
          <w:lang w:val="hu-HU"/>
        </w:rPr>
        <w:t xml:space="preserve"> von </w:t>
      </w:r>
      <w:proofErr w:type="spellStart"/>
      <w:r>
        <w:rPr>
          <w:lang w:val="hu-HU"/>
        </w:rPr>
        <w:t>verschiedenen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Strategien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eine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besondere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Rolle</w:t>
      </w:r>
      <w:proofErr w:type="spellEnd"/>
      <w:r>
        <w:rPr>
          <w:lang w:val="hu-HU"/>
        </w:rPr>
        <w:t>.</w:t>
      </w:r>
    </w:p>
    <w:p w:rsidR="00EF3871" w:rsidRDefault="00EF3871" w:rsidP="00EF3871">
      <w:pPr>
        <w:jc w:val="both"/>
        <w:rPr>
          <w:lang w:val="hu-HU"/>
        </w:rPr>
      </w:pPr>
    </w:p>
    <w:p w:rsidR="00EF3871" w:rsidRDefault="00EF3871" w:rsidP="00EF3871">
      <w:pPr>
        <w:pStyle w:val="Norml2"/>
        <w:jc w:val="both"/>
        <w:rPr>
          <w:b/>
        </w:rPr>
      </w:pPr>
      <w:proofErr w:type="spellStart"/>
      <w:r>
        <w:rPr>
          <w:b/>
        </w:rPr>
        <w:t>Thematik</w:t>
      </w:r>
      <w:proofErr w:type="spellEnd"/>
    </w:p>
    <w:p w:rsidR="00EF3871" w:rsidRDefault="00EF3871" w:rsidP="00EF3871">
      <w:pPr>
        <w:pStyle w:val="Norml2"/>
        <w:jc w:val="both"/>
      </w:pP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6"/>
        <w:gridCol w:w="12704"/>
      </w:tblGrid>
      <w:tr w:rsidR="00EF3871" w:rsidRPr="00A64AFF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Pr="00A64AFF" w:rsidRDefault="00EF3871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Woche</w:t>
            </w:r>
            <w:proofErr w:type="spellEnd"/>
          </w:p>
          <w:p w:rsidR="00EF3871" w:rsidRPr="00A64AFF" w:rsidRDefault="00EF3871" w:rsidP="00383C00">
            <w:pPr>
              <w:pStyle w:val="Norml2"/>
              <w:jc w:val="center"/>
              <w:rPr>
                <w:b/>
              </w:rPr>
            </w:pP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Pr="00A64AFF" w:rsidRDefault="00EF3871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Thema</w:t>
            </w:r>
            <w:proofErr w:type="spellEnd"/>
          </w:p>
        </w:tc>
      </w:tr>
      <w:tr w:rsidR="00EF3871" w:rsidTr="00383C00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1.</w:t>
            </w:r>
          </w:p>
        </w:tc>
        <w:tc>
          <w:tcPr>
            <w:tcW w:w="12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Unterschiedliche</w:t>
            </w:r>
            <w:proofErr w:type="spellEnd"/>
            <w:r>
              <w:t xml:space="preserve"> </w:t>
            </w:r>
            <w:proofErr w:type="spellStart"/>
            <w:r>
              <w:t>Arten</w:t>
            </w:r>
            <w:proofErr w:type="spellEnd"/>
            <w:r>
              <w:t xml:space="preserve"> von Texten</w:t>
            </w:r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2.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 von Texten</w:t>
            </w:r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3.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Strategien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Lesen, </w:t>
            </w:r>
            <w:proofErr w:type="spellStart"/>
            <w:r>
              <w:t>Hören</w:t>
            </w:r>
            <w:proofErr w:type="spellEnd"/>
            <w:r>
              <w:t xml:space="preserve"> und </w:t>
            </w:r>
            <w:proofErr w:type="spellStart"/>
            <w:r>
              <w:t>Hör-Sehen</w:t>
            </w:r>
            <w:proofErr w:type="spellEnd"/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4.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Lese-Hör</w:t>
            </w:r>
            <w:proofErr w:type="spellEnd"/>
            <w:r>
              <w:t xml:space="preserve"> und </w:t>
            </w:r>
            <w:proofErr w:type="spellStart"/>
            <w:r>
              <w:t>Hör-Stile</w:t>
            </w:r>
            <w:proofErr w:type="spellEnd"/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5.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Aufgaben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Förderung</w:t>
            </w:r>
            <w:proofErr w:type="spellEnd"/>
            <w:r>
              <w:t xml:space="preserve"> des Lese-, </w:t>
            </w:r>
            <w:proofErr w:type="spellStart"/>
            <w:r>
              <w:t>Hör-</w:t>
            </w:r>
            <w:proofErr w:type="spellEnd"/>
            <w:r>
              <w:t xml:space="preserve">, und </w:t>
            </w:r>
            <w:proofErr w:type="spellStart"/>
            <w:r>
              <w:t>Hör-Sehverstehens</w:t>
            </w:r>
            <w:proofErr w:type="spellEnd"/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6.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Landeskundliche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didaktisieren</w:t>
            </w:r>
            <w:proofErr w:type="spellEnd"/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  <w:jc w:val="center"/>
            </w:pPr>
            <w:r>
              <w:t>7.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Unterrichtsdeutsch</w:t>
            </w:r>
            <w:proofErr w:type="spellEnd"/>
            <w:r>
              <w:t xml:space="preserve"> </w:t>
            </w:r>
          </w:p>
        </w:tc>
      </w:tr>
      <w:tr w:rsidR="00EF3871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r>
              <w:t xml:space="preserve">         8. 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871" w:rsidRDefault="00EF3871" w:rsidP="00383C00">
            <w:pPr>
              <w:pStyle w:val="Norml2"/>
            </w:pPr>
            <w:proofErr w:type="spellStart"/>
            <w:r>
              <w:t>Evaluation</w:t>
            </w:r>
            <w:proofErr w:type="spellEnd"/>
            <w:r>
              <w:t xml:space="preserve">, </w:t>
            </w:r>
            <w:proofErr w:type="spellStart"/>
            <w:r>
              <w:t>Bewertung</w:t>
            </w:r>
            <w:proofErr w:type="spellEnd"/>
          </w:p>
        </w:tc>
      </w:tr>
    </w:tbl>
    <w:p w:rsidR="00EF3871" w:rsidRDefault="00EF3871" w:rsidP="00EF3871">
      <w:pPr>
        <w:pStyle w:val="Norml2"/>
        <w:rPr>
          <w:b/>
        </w:rPr>
      </w:pPr>
    </w:p>
    <w:p w:rsidR="00EF3871" w:rsidRDefault="00EF3871" w:rsidP="00EF3871">
      <w:pPr>
        <w:pStyle w:val="Norml2"/>
        <w:rPr>
          <w:b/>
        </w:rPr>
      </w:pPr>
      <w:r>
        <w:rPr>
          <w:b/>
        </w:rPr>
        <w:t xml:space="preserve">Irodalom: DLL 05: </w:t>
      </w:r>
      <w:proofErr w:type="spellStart"/>
      <w:r>
        <w:rPr>
          <w:b/>
        </w:rPr>
        <w:t>Lehr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Lernmedien</w:t>
      </w:r>
      <w:proofErr w:type="spellEnd"/>
    </w:p>
    <w:p w:rsidR="00EF3871" w:rsidRDefault="00EF3871" w:rsidP="00EF3871">
      <w:pPr>
        <w:pStyle w:val="Norml2"/>
        <w:rPr>
          <w:b/>
        </w:rPr>
      </w:pPr>
    </w:p>
    <w:p w:rsidR="00921B8B" w:rsidRDefault="00921B8B"/>
    <w:sectPr w:rsidR="00921B8B" w:rsidSect="0092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871"/>
    <w:rsid w:val="00921B8B"/>
    <w:rsid w:val="00E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2">
    <w:name w:val="Normál2"/>
    <w:rsid w:val="00EF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2021-11-15T07:49:00Z</dcterms:created>
  <dcterms:modified xsi:type="dcterms:W3CDTF">2021-11-15T07:50:00Z</dcterms:modified>
</cp:coreProperties>
</file>